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8DF8" w14:textId="77777777" w:rsidR="002E14E9" w:rsidRPr="00C4772D" w:rsidRDefault="002E14E9" w:rsidP="002A3FB9">
      <w:pPr>
        <w:pStyle w:val="naislab"/>
        <w:spacing w:before="0" w:beforeAutospacing="0" w:after="0" w:afterAutospacing="0"/>
        <w:jc w:val="right"/>
        <w:rPr>
          <w:sz w:val="28"/>
        </w:rPr>
      </w:pPr>
      <w:r w:rsidRPr="00C4772D">
        <w:rPr>
          <w:color w:val="000000"/>
          <w:sz w:val="28"/>
        </w:rPr>
        <w:t>3.pielikums</w:t>
      </w:r>
    </w:p>
    <w:p w14:paraId="5E396099" w14:textId="77777777" w:rsidR="002E14E9" w:rsidRDefault="002E14E9" w:rsidP="001B196E">
      <w:pPr>
        <w:pStyle w:val="naislab"/>
        <w:spacing w:before="0" w:beforeAutospacing="0" w:after="0" w:afterAutospacing="0"/>
        <w:jc w:val="right"/>
        <w:rPr>
          <w:color w:val="000000"/>
          <w:sz w:val="28"/>
        </w:rPr>
      </w:pPr>
      <w:r w:rsidRPr="00C4772D">
        <w:rPr>
          <w:color w:val="000000"/>
          <w:sz w:val="28"/>
        </w:rPr>
        <w:t>Ministru kabineta</w:t>
      </w:r>
      <w:r>
        <w:rPr>
          <w:color w:val="000000"/>
          <w:sz w:val="28"/>
        </w:rPr>
        <w:t xml:space="preserve"> </w:t>
      </w:r>
      <w:r w:rsidRPr="00C4772D">
        <w:rPr>
          <w:color w:val="000000"/>
          <w:sz w:val="28"/>
        </w:rPr>
        <w:t>2013.</w:t>
      </w:r>
      <w:r>
        <w:rPr>
          <w:color w:val="000000"/>
          <w:sz w:val="28"/>
        </w:rPr>
        <w:t xml:space="preserve"> </w:t>
      </w:r>
      <w:r w:rsidRPr="00C4772D">
        <w:rPr>
          <w:color w:val="000000"/>
          <w:sz w:val="28"/>
        </w:rPr>
        <w:t>gada</w:t>
      </w:r>
    </w:p>
    <w:p w14:paraId="5A3BB103" w14:textId="77777777" w:rsidR="002E14E9" w:rsidRPr="00C4772D" w:rsidRDefault="002E14E9" w:rsidP="001B196E">
      <w:pPr>
        <w:pStyle w:val="naislab"/>
        <w:spacing w:before="0" w:beforeAutospacing="0" w:after="0" w:afterAutospacing="0"/>
        <w:jc w:val="right"/>
        <w:rPr>
          <w:sz w:val="28"/>
        </w:rPr>
      </w:pPr>
      <w:r>
        <w:rPr>
          <w:color w:val="000000"/>
          <w:sz w:val="28"/>
        </w:rPr>
        <w:t> 3. janvāra           </w:t>
      </w:r>
      <w:r w:rsidRPr="00C4772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</w:t>
      </w:r>
      <w:r w:rsidRPr="00C4772D">
        <w:rPr>
          <w:sz w:val="28"/>
        </w:rPr>
        <w:t>noteikumiem Nr.</w:t>
      </w:r>
      <w:r>
        <w:rPr>
          <w:sz w:val="28"/>
        </w:rPr>
        <w:t>  1          </w:t>
      </w:r>
    </w:p>
    <w:p w14:paraId="3F029B5A" w14:textId="77777777" w:rsidR="002E14E9" w:rsidRPr="00A53506" w:rsidRDefault="002E14E9" w:rsidP="002A3FB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20EAEAD" w14:textId="77777777" w:rsidR="002E14E9" w:rsidRPr="00007525" w:rsidRDefault="002E14E9" w:rsidP="00AE297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val="lv-LV"/>
        </w:rPr>
      </w:pPr>
      <w:r w:rsidRPr="00C4772D">
        <w:rPr>
          <w:rFonts w:ascii="Times New Roman" w:hAnsi="Times New Roman"/>
          <w:b/>
          <w:sz w:val="28"/>
          <w:szCs w:val="24"/>
          <w:lang w:val="lv-LV"/>
        </w:rPr>
        <w:t xml:space="preserve">Anotācija pētījumam </w:t>
      </w:r>
      <w:r w:rsidRPr="00E84D4D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Narkotisko un psihotropo vielu atlikumu </w:t>
      </w:r>
      <w:proofErr w:type="spellStart"/>
      <w:r w:rsidRPr="00E84D4D">
        <w:rPr>
          <w:rFonts w:ascii="Times New Roman" w:hAnsi="Times New Roman"/>
          <w:b/>
          <w:sz w:val="28"/>
          <w:szCs w:val="28"/>
          <w:u w:val="single"/>
          <w:lang w:val="lv-LV"/>
        </w:rPr>
        <w:t>masspektrometriska</w:t>
      </w:r>
      <w:proofErr w:type="spellEnd"/>
      <w:r w:rsidRPr="00E84D4D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 identifikācija vienreizējās lietošanas šļircēs</w:t>
      </w:r>
    </w:p>
    <w:p w14:paraId="684FFAA9" w14:textId="77777777" w:rsidR="002E14E9" w:rsidRPr="00A53506" w:rsidRDefault="002E14E9" w:rsidP="00AA40B4">
      <w:pPr>
        <w:tabs>
          <w:tab w:val="left" w:pos="6804"/>
        </w:tabs>
        <w:spacing w:after="0" w:line="240" w:lineRule="auto"/>
        <w:ind w:left="4820"/>
        <w:rPr>
          <w:rFonts w:ascii="Times New Roman" w:hAnsi="Times New Roman"/>
          <w:sz w:val="24"/>
          <w:szCs w:val="24"/>
          <w:lang w:val="lv-LV"/>
        </w:rPr>
      </w:pPr>
      <w:r w:rsidRPr="00A53506">
        <w:rPr>
          <w:rFonts w:ascii="Times New Roman" w:hAnsi="Times New Roman"/>
          <w:sz w:val="24"/>
          <w:szCs w:val="24"/>
          <w:lang w:val="lv-LV"/>
        </w:rPr>
        <w:t>(pētījuma nosaukums)</w:t>
      </w:r>
    </w:p>
    <w:p w14:paraId="5F502119" w14:textId="77777777" w:rsidR="002E14E9" w:rsidRPr="00A53506" w:rsidRDefault="002E14E9" w:rsidP="00AA40B4">
      <w:pPr>
        <w:tabs>
          <w:tab w:val="left" w:pos="6804"/>
        </w:tabs>
        <w:spacing w:after="0" w:line="240" w:lineRule="auto"/>
        <w:ind w:left="4820"/>
        <w:rPr>
          <w:rFonts w:ascii="Times New Roman" w:hAnsi="Times New Roman"/>
          <w:sz w:val="24"/>
          <w:szCs w:val="24"/>
          <w:lang w:val="lv-LV"/>
        </w:rPr>
      </w:pPr>
    </w:p>
    <w:tbl>
      <w:tblPr>
        <w:tblpPr w:leftFromText="180" w:rightFromText="180" w:vertAnchor="text" w:horzAnchor="margin" w:tblpY="38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021"/>
        <w:gridCol w:w="5216"/>
      </w:tblGrid>
      <w:tr w:rsidR="002E14E9" w:rsidRPr="00A53506" w14:paraId="324A9A19" w14:textId="77777777" w:rsidTr="00C42870">
        <w:trPr>
          <w:trHeight w:val="2692"/>
        </w:trPr>
        <w:tc>
          <w:tcPr>
            <w:tcW w:w="4838" w:type="dxa"/>
            <w:gridSpan w:val="2"/>
          </w:tcPr>
          <w:p w14:paraId="2012B804" w14:textId="77777777" w:rsidR="002E14E9" w:rsidRPr="00357CBA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Pētījuma mērķis, uzdevumi un galvenie rezultāti latviešu valodā </w:t>
            </w:r>
          </w:p>
          <w:p w14:paraId="092A3591" w14:textId="77777777" w:rsidR="002E14E9" w:rsidRPr="00357CBA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(brīvā tekstā, aptuveni 150 vārdu)</w:t>
            </w:r>
          </w:p>
          <w:p w14:paraId="3355B36C" w14:textId="77777777" w:rsidR="002E14E9" w:rsidRPr="00357CBA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  <w:p w14:paraId="79D11577" w14:textId="77777777" w:rsidR="002E14E9" w:rsidRPr="00357CBA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Pētījuma mērķis:</w:t>
            </w: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Veikt narkotisko un psihotropo vielu atlikumu </w:t>
            </w:r>
            <w:proofErr w:type="spellStart"/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masspektrometrisku</w:t>
            </w:r>
            <w:proofErr w:type="spellEnd"/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identifikāciju izlietotās vienreizējās lietošanas šļircēs, lai iegūtu datus par narkotisko un psihotropo vielu lietošanas paradumiem Rīgas pilsētā.</w:t>
            </w:r>
          </w:p>
          <w:p w14:paraId="65317143" w14:textId="77777777" w:rsidR="002E14E9" w:rsidRPr="00357CBA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Uzdevumi:    </w:t>
            </w:r>
          </w:p>
          <w:p w14:paraId="3F23798F" w14:textId="670F3681" w:rsidR="002E14E9" w:rsidRPr="00357CBA" w:rsidRDefault="002E14E9" w:rsidP="003B7225">
            <w:pPr>
              <w:pStyle w:val="ListParagraph"/>
              <w:numPr>
                <w:ilvl w:val="1"/>
                <w:numId w:val="5"/>
              </w:numPr>
              <w:spacing w:before="60" w:after="60" w:line="240" w:lineRule="auto"/>
              <w:ind w:left="57" w:right="57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CBA">
              <w:rPr>
                <w:rFonts w:ascii="Times New Roman" w:hAnsi="Times New Roman"/>
                <w:sz w:val="24"/>
                <w:szCs w:val="24"/>
              </w:rPr>
              <w:t xml:space="preserve">Veikt ne mazāk kā 200 analīžu paraugu (narkotisko un psihotropo vielu atlikumu identifikāciju izlietotās vienreizējās lietošanas šļircēs) izpēti saskaņā ar </w:t>
            </w:r>
            <w:r w:rsidR="00D575BC">
              <w:rPr>
                <w:rFonts w:ascii="Times New Roman" w:hAnsi="Times New Roman"/>
                <w:sz w:val="24"/>
                <w:szCs w:val="24"/>
              </w:rPr>
              <w:t xml:space="preserve">2020.gadā </w:t>
            </w:r>
            <w:r w:rsidRPr="00357CBA">
              <w:rPr>
                <w:rFonts w:ascii="Times New Roman" w:hAnsi="Times New Roman"/>
                <w:sz w:val="24"/>
                <w:szCs w:val="24"/>
              </w:rPr>
              <w:t xml:space="preserve">izstrādāto metodi un protokolu. </w:t>
            </w:r>
          </w:p>
          <w:p w14:paraId="4EFB3C43" w14:textId="77777777" w:rsidR="002E14E9" w:rsidRPr="00357CBA" w:rsidRDefault="002E14E9" w:rsidP="003B7225">
            <w:pPr>
              <w:pStyle w:val="ListParagraph"/>
              <w:numPr>
                <w:ilvl w:val="1"/>
                <w:numId w:val="5"/>
              </w:numPr>
              <w:spacing w:before="60" w:after="60" w:line="240" w:lineRule="auto"/>
              <w:ind w:left="57" w:right="57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CBA">
              <w:rPr>
                <w:rFonts w:ascii="Times New Roman" w:hAnsi="Times New Roman"/>
                <w:sz w:val="24"/>
                <w:szCs w:val="24"/>
              </w:rPr>
              <w:t>Sagatavot gala atskaiti par pētījuma ietvaros iegūtajiem analīžu rezultātiem.</w:t>
            </w:r>
          </w:p>
          <w:p w14:paraId="1743C3F6" w14:textId="77777777" w:rsidR="002E14E9" w:rsidRPr="00E73347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338F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Galvenie rezultāti:</w:t>
            </w:r>
          </w:p>
          <w:p w14:paraId="23FB0A21" w14:textId="0BB1E17B" w:rsidR="002E14E9" w:rsidRPr="00E73347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7334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Veikta narkotisko un psihotropo vielu atlikumu </w:t>
            </w:r>
            <w:proofErr w:type="spellStart"/>
            <w:r w:rsidRPr="00E73347">
              <w:rPr>
                <w:rFonts w:ascii="Times New Roman" w:hAnsi="Times New Roman"/>
                <w:sz w:val="24"/>
                <w:szCs w:val="24"/>
                <w:lang w:val="lv-LV"/>
              </w:rPr>
              <w:t>masspektrometriskā</w:t>
            </w:r>
            <w:proofErr w:type="spellEnd"/>
            <w:r w:rsidRPr="00E7334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analīze metanola ekstraktos, kas iegūti no 200 vienreizējās lietošanas </w:t>
            </w:r>
            <w:proofErr w:type="spellStart"/>
            <w:r w:rsidRPr="00E73347">
              <w:rPr>
                <w:rFonts w:ascii="Times New Roman" w:hAnsi="Times New Roman"/>
                <w:sz w:val="24"/>
                <w:szCs w:val="24"/>
                <w:lang w:val="lv-LV"/>
              </w:rPr>
              <w:t>šlircēm</w:t>
            </w:r>
            <w:proofErr w:type="spellEnd"/>
            <w:r w:rsidRPr="00E7334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Pētījuma gaitā identificēti </w:t>
            </w:r>
            <w:r w:rsidR="0037020F">
              <w:rPr>
                <w:rFonts w:ascii="Times New Roman" w:hAnsi="Times New Roman"/>
                <w:sz w:val="24"/>
                <w:szCs w:val="24"/>
                <w:lang w:val="lv-LV"/>
              </w:rPr>
              <w:t>14</w:t>
            </w:r>
            <w:r w:rsidRPr="00E7334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savienojumi.</w:t>
            </w:r>
          </w:p>
          <w:p w14:paraId="68F1BFC2" w14:textId="77777777" w:rsidR="0037020F" w:rsidRPr="00D7072B" w:rsidRDefault="0037020F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Visbiežāk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detektētā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viela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amfetamīns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– (92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šļirces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, 46%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paraugu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), 78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šļircēs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(39%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paraugu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tas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tika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detektēts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kopā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piedevu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kofeīnu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un 36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šļircēs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kopā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metamfetamīnu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(18%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paraugu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Trešais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visbiežāk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detektētais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ķīmiskais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savienojums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otrā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visbiežāk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atrastā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aktīvā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farmaceitiskā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viela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metadons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(63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šļirces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, 31.5%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paraugu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). 56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šļircēs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(28%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paraugu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tas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tika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atrasts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kopā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karfentanilu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difenilhidramīnu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. 51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šļircē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(25.5%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paraugu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detektēts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izotonitazēns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un 32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šļircēs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(16%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paraugu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metonitazēns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. 30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gadījumos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tie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atrasti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kopā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. 25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šļircēs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(12.5%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paraugu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detektēts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ksilazīns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, kas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visos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gadījumos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tika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atrasts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kopā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izotonitazēnu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metonitazēnu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DE278A" w14:textId="51973A5F" w:rsidR="00661ED2" w:rsidRPr="00D7072B" w:rsidRDefault="0037020F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70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No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dažādu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zāļu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grupas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vienīgais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savienojums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detektēts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difenilhidramīns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(56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šļircēs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, 28%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paraugu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14C90C4" w14:textId="27FE75AE" w:rsidR="002E14E9" w:rsidRPr="00D7072B" w:rsidRDefault="002E14E9" w:rsidP="003B7225">
            <w:pPr>
              <w:spacing w:before="60" w:after="6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7072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Nevienā paraugā nav detektēti sintētiskie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  <w:lang w:val="lv-LV"/>
              </w:rPr>
              <w:t>kanabinoīdi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="0037020F" w:rsidRPr="00D7072B">
              <w:rPr>
                <w:rFonts w:ascii="Times New Roman" w:hAnsi="Times New Roman"/>
                <w:sz w:val="24"/>
                <w:szCs w:val="24"/>
              </w:rPr>
              <w:t>katinoni</w:t>
            </w:r>
            <w:proofErr w:type="spellEnd"/>
            <w:r w:rsidR="0037020F" w:rsidRPr="00D707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7020F" w:rsidRPr="00D7072B">
              <w:rPr>
                <w:rFonts w:ascii="Times New Roman" w:hAnsi="Times New Roman"/>
                <w:sz w:val="24"/>
                <w:szCs w:val="24"/>
              </w:rPr>
              <w:t>piperidīni</w:t>
            </w:r>
            <w:proofErr w:type="spellEnd"/>
            <w:r w:rsidR="00661ED2" w:rsidRPr="00D7072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D7072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un virkne citu </w:t>
            </w:r>
            <w:r w:rsidR="001C6FA0" w:rsidRPr="00D7072B">
              <w:rPr>
                <w:rFonts w:ascii="Times New Roman" w:hAnsi="Times New Roman"/>
                <w:sz w:val="24"/>
                <w:szCs w:val="24"/>
                <w:lang w:val="lv-LV"/>
              </w:rPr>
              <w:t>ESCAPE vispārīgajā protokolā</w:t>
            </w:r>
            <w:r w:rsidRPr="00D7072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aprakstītu vielu.</w:t>
            </w:r>
          </w:p>
          <w:p w14:paraId="215AAC30" w14:textId="692F8746" w:rsidR="002E14E9" w:rsidRPr="00357CBA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216" w:type="dxa"/>
          </w:tcPr>
          <w:p w14:paraId="2E8C6004" w14:textId="77777777" w:rsidR="002E14E9" w:rsidRPr="00D7072B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7072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lastRenderedPageBreak/>
              <w:t xml:space="preserve">Pētījuma mērķis, uzdevumi un galvenie rezultāti angļu valodā </w:t>
            </w:r>
          </w:p>
          <w:p w14:paraId="5A4C443B" w14:textId="77777777" w:rsidR="002E14E9" w:rsidRPr="00D7072B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brīvā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tekstā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aptuveni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150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vārdu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AE26FEA" w14:textId="77777777" w:rsidR="002E14E9" w:rsidRPr="00D7072B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EC2DBD" w14:textId="77777777" w:rsidR="002E14E9" w:rsidRPr="00D7072B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72B">
              <w:rPr>
                <w:rFonts w:ascii="Times New Roman" w:hAnsi="Times New Roman"/>
                <w:b/>
                <w:bCs/>
                <w:sz w:val="24"/>
                <w:szCs w:val="24"/>
              </w:rPr>
              <w:t>Objective of the study:</w:t>
            </w:r>
            <w:r w:rsidRPr="00D7072B">
              <w:rPr>
                <w:rFonts w:ascii="Times New Roman" w:hAnsi="Times New Roman"/>
                <w:bCs/>
                <w:sz w:val="24"/>
                <w:szCs w:val="24"/>
              </w:rPr>
              <w:t xml:space="preserve"> Identification of drug residues in disposable syringes to obtain data on narcotic drugs and psychotropic substances usage in Riga city.</w:t>
            </w:r>
          </w:p>
          <w:p w14:paraId="4EA37B4F" w14:textId="77777777" w:rsidR="008B1834" w:rsidRPr="00D7072B" w:rsidRDefault="008B1834" w:rsidP="003B722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BE62C2" w14:textId="77777777" w:rsidR="001C6FA0" w:rsidRPr="00D7072B" w:rsidRDefault="001C6FA0" w:rsidP="003B722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DF9D3E" w14:textId="77777777" w:rsidR="002E14E9" w:rsidRPr="00D7072B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72B">
              <w:rPr>
                <w:rFonts w:ascii="Times New Roman" w:hAnsi="Times New Roman"/>
                <w:b/>
                <w:sz w:val="24"/>
                <w:szCs w:val="24"/>
              </w:rPr>
              <w:t>Tasks:</w:t>
            </w:r>
          </w:p>
          <w:p w14:paraId="75BB6B1E" w14:textId="51430C6C" w:rsidR="002E14E9" w:rsidRPr="00D7072B" w:rsidRDefault="008B1834" w:rsidP="003B7225">
            <w:pPr>
              <w:numPr>
                <w:ilvl w:val="1"/>
                <w:numId w:val="8"/>
              </w:numPr>
              <w:spacing w:before="60" w:after="6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2B">
              <w:rPr>
                <w:rFonts w:ascii="Times New Roman" w:hAnsi="Times New Roman"/>
                <w:sz w:val="24"/>
                <w:szCs w:val="24"/>
              </w:rPr>
              <w:t>P</w:t>
            </w:r>
            <w:r w:rsidR="002E14E9" w:rsidRPr="00D7072B">
              <w:rPr>
                <w:rFonts w:ascii="Times New Roman" w:hAnsi="Times New Roman"/>
                <w:sz w:val="24"/>
                <w:szCs w:val="24"/>
              </w:rPr>
              <w:t>erform analysis of at least 200 analytical samples (identification of residues of narcotic and psychotropic substances in used disposable syringes) in accordance with the method and protocol</w:t>
            </w:r>
            <w:r w:rsidR="00D575BC" w:rsidRPr="00D7072B">
              <w:rPr>
                <w:rFonts w:ascii="Times New Roman" w:hAnsi="Times New Roman"/>
                <w:sz w:val="24"/>
                <w:szCs w:val="24"/>
              </w:rPr>
              <w:t xml:space="preserve"> which ware developed in 2020.</w:t>
            </w:r>
          </w:p>
          <w:p w14:paraId="32094CF1" w14:textId="77777777" w:rsidR="002E14E9" w:rsidRPr="00D7072B" w:rsidRDefault="002E14E9" w:rsidP="003B7225">
            <w:pPr>
              <w:numPr>
                <w:ilvl w:val="1"/>
                <w:numId w:val="8"/>
              </w:numPr>
              <w:spacing w:before="60" w:after="6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2B">
              <w:rPr>
                <w:rFonts w:ascii="Times New Roman" w:hAnsi="Times New Roman"/>
                <w:sz w:val="24"/>
                <w:szCs w:val="24"/>
              </w:rPr>
              <w:t>Prepare a final report on the results of the analysis.</w:t>
            </w:r>
          </w:p>
          <w:p w14:paraId="29D99AE2" w14:textId="77777777" w:rsidR="002E14E9" w:rsidRPr="00D7072B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72B">
              <w:rPr>
                <w:rFonts w:ascii="Times New Roman" w:hAnsi="Times New Roman"/>
                <w:b/>
                <w:sz w:val="24"/>
                <w:szCs w:val="24"/>
              </w:rPr>
              <w:t xml:space="preserve">Main results: </w:t>
            </w:r>
          </w:p>
          <w:p w14:paraId="52977774" w14:textId="21A02D17" w:rsidR="002E14E9" w:rsidRPr="00D7072B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2B">
              <w:rPr>
                <w:rFonts w:ascii="Times New Roman" w:hAnsi="Times New Roman"/>
                <w:sz w:val="24"/>
                <w:szCs w:val="24"/>
              </w:rPr>
              <w:t xml:space="preserve">Mass spectrometric analysis of drug and psychotropic substance residues in methanol extracts obtained from 200 disposable syringes was performed. During the study, </w:t>
            </w:r>
            <w:r w:rsidR="0037020F" w:rsidRPr="00D7072B">
              <w:rPr>
                <w:rFonts w:ascii="Times New Roman" w:hAnsi="Times New Roman"/>
                <w:sz w:val="24"/>
                <w:szCs w:val="24"/>
              </w:rPr>
              <w:t>14</w:t>
            </w:r>
            <w:r w:rsidRPr="00D7072B">
              <w:rPr>
                <w:rFonts w:ascii="Times New Roman" w:hAnsi="Times New Roman"/>
                <w:sz w:val="24"/>
                <w:szCs w:val="24"/>
              </w:rPr>
              <w:t xml:space="preserve"> compounds were identified.</w:t>
            </w:r>
          </w:p>
          <w:p w14:paraId="631715A9" w14:textId="77777777" w:rsidR="00D7072B" w:rsidRPr="00D7072B" w:rsidRDefault="00D7072B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2B">
              <w:rPr>
                <w:rFonts w:ascii="Times New Roman" w:hAnsi="Times New Roman"/>
                <w:sz w:val="24"/>
                <w:szCs w:val="24"/>
              </w:rPr>
              <w:t xml:space="preserve">The most abundant substance in tested samples was amphetamine detected in 92 syringes, </w:t>
            </w:r>
            <w:proofErr w:type="gramStart"/>
            <w:r w:rsidRPr="00D7072B">
              <w:rPr>
                <w:rFonts w:ascii="Times New Roman" w:hAnsi="Times New Roman"/>
                <w:sz w:val="24"/>
                <w:szCs w:val="24"/>
              </w:rPr>
              <w:t>i.e.</w:t>
            </w:r>
            <w:proofErr w:type="gram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46% of samples. In 78 syringes (39%) amphetamine was detected together with adulterant caffeine and in 36 syringes – with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metaphetamine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(18% of samples). The second most abundant medication and the third most abundant identified compound was methadone (63 syringes, 31.5%). In 56 syringes (28%) methadone was detected in combination with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carfentanyl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diphenylhydramine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. 51 </w:t>
            </w:r>
            <w:proofErr w:type="gramStart"/>
            <w:r w:rsidRPr="00D7072B"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gram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(25.5% of samples) contained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isotonitazene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and 32 syringes (16%) –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metonitazene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. In 30 cases both compounds were detected together. In 25 syringes (12.5%) xylazine was detected, in all cases the compound was found in combination with both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isotonitazene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t>metonitazene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82669A" w14:textId="5FA6C443" w:rsidR="00D7072B" w:rsidRPr="00D7072B" w:rsidRDefault="00D7072B" w:rsidP="00D7072B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72B">
              <w:rPr>
                <w:rFonts w:ascii="Times New Roman" w:hAnsi="Times New Roman"/>
                <w:sz w:val="24"/>
                <w:szCs w:val="24"/>
              </w:rPr>
              <w:lastRenderedPageBreak/>
              <w:t>Diphenylhydramine</w:t>
            </w:r>
            <w:proofErr w:type="spellEnd"/>
            <w:r w:rsidRPr="00D7072B">
              <w:rPr>
                <w:rFonts w:ascii="Times New Roman" w:hAnsi="Times New Roman"/>
                <w:sz w:val="24"/>
                <w:szCs w:val="24"/>
              </w:rPr>
              <w:t xml:space="preserve"> was the only representative of other medicines group (56 syringes or 28% of samples)</w:t>
            </w:r>
            <w:r w:rsidR="003B7225" w:rsidRPr="00D70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64ACEB" w14:textId="6F5EFD0F" w:rsidR="002E14E9" w:rsidRPr="00D7072B" w:rsidRDefault="002E14E9" w:rsidP="003B7225">
            <w:pPr>
              <w:spacing w:before="60" w:after="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2B">
              <w:rPr>
                <w:rFonts w:ascii="Times New Roman" w:hAnsi="Times New Roman"/>
                <w:sz w:val="24"/>
                <w:szCs w:val="24"/>
              </w:rPr>
              <w:t xml:space="preserve">No samples containing synthetic cannabinoids, </w:t>
            </w:r>
            <w:proofErr w:type="spellStart"/>
            <w:r w:rsidR="00D7072B" w:rsidRPr="00D7072B">
              <w:rPr>
                <w:rFonts w:ascii="Times New Roman" w:hAnsi="Times New Roman"/>
                <w:sz w:val="24"/>
                <w:szCs w:val="24"/>
              </w:rPr>
              <w:t>cathinones</w:t>
            </w:r>
            <w:proofErr w:type="spellEnd"/>
            <w:r w:rsidR="00D7072B" w:rsidRPr="00D7072B">
              <w:rPr>
                <w:rFonts w:ascii="Times New Roman" w:hAnsi="Times New Roman"/>
                <w:sz w:val="24"/>
                <w:szCs w:val="24"/>
              </w:rPr>
              <w:t>, piperidines</w:t>
            </w:r>
            <w:r w:rsidRPr="00D7072B">
              <w:rPr>
                <w:rFonts w:ascii="Times New Roman" w:hAnsi="Times New Roman"/>
                <w:sz w:val="24"/>
                <w:szCs w:val="24"/>
              </w:rPr>
              <w:t xml:space="preserve"> as well as number of other compounds</w:t>
            </w:r>
            <w:r w:rsidR="001C6FA0" w:rsidRPr="00D7072B">
              <w:rPr>
                <w:rFonts w:ascii="Times New Roman" w:hAnsi="Times New Roman"/>
                <w:sz w:val="24"/>
                <w:szCs w:val="24"/>
              </w:rPr>
              <w:t xml:space="preserve"> listed in ESCAPE generic protocol</w:t>
            </w:r>
            <w:r w:rsidRPr="00D7072B">
              <w:rPr>
                <w:rFonts w:ascii="Times New Roman" w:hAnsi="Times New Roman"/>
                <w:sz w:val="24"/>
                <w:szCs w:val="24"/>
              </w:rPr>
              <w:t xml:space="preserve"> were found.</w:t>
            </w:r>
          </w:p>
        </w:tc>
      </w:tr>
      <w:tr w:rsidR="002E14E9" w:rsidRPr="00A53506" w14:paraId="21027A93" w14:textId="77777777" w:rsidTr="00C42870">
        <w:trPr>
          <w:trHeight w:val="397"/>
        </w:trPr>
        <w:tc>
          <w:tcPr>
            <w:tcW w:w="4838" w:type="dxa"/>
            <w:gridSpan w:val="2"/>
          </w:tcPr>
          <w:p w14:paraId="73068C1E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Galvenās pētījumā aplūkotās tēmas</w:t>
            </w:r>
          </w:p>
        </w:tc>
        <w:tc>
          <w:tcPr>
            <w:tcW w:w="5216" w:type="dxa"/>
          </w:tcPr>
          <w:p w14:paraId="5D3A4F56" w14:textId="6883F5C1" w:rsidR="002E14E9" w:rsidRPr="00357CBA" w:rsidRDefault="007338FF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Narkotiskās un psihotropās vielas</w:t>
            </w:r>
          </w:p>
        </w:tc>
      </w:tr>
      <w:tr w:rsidR="002E14E9" w:rsidRPr="00A53506" w14:paraId="0DD4B07A" w14:textId="77777777" w:rsidTr="00C42870">
        <w:trPr>
          <w:trHeight w:val="397"/>
        </w:trPr>
        <w:tc>
          <w:tcPr>
            <w:tcW w:w="4838" w:type="dxa"/>
            <w:gridSpan w:val="2"/>
          </w:tcPr>
          <w:p w14:paraId="77251531" w14:textId="77777777" w:rsidR="002E14E9" w:rsidRPr="00357CBA" w:rsidDel="00332093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Pētījuma pasūtītājs</w:t>
            </w:r>
          </w:p>
        </w:tc>
        <w:tc>
          <w:tcPr>
            <w:tcW w:w="5216" w:type="dxa"/>
          </w:tcPr>
          <w:p w14:paraId="64AAF70E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Slimību profilakses un kontroles centrs</w:t>
            </w:r>
          </w:p>
        </w:tc>
      </w:tr>
      <w:tr w:rsidR="002E14E9" w:rsidRPr="00A53506" w14:paraId="29AF7020" w14:textId="77777777" w:rsidTr="00C42870">
        <w:trPr>
          <w:trHeight w:val="397"/>
        </w:trPr>
        <w:tc>
          <w:tcPr>
            <w:tcW w:w="4838" w:type="dxa"/>
            <w:gridSpan w:val="2"/>
          </w:tcPr>
          <w:p w14:paraId="3382EA60" w14:textId="77777777" w:rsidR="002E14E9" w:rsidRPr="00357CBA" w:rsidDel="00332093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Pētījuma īstenotājs</w:t>
            </w:r>
          </w:p>
        </w:tc>
        <w:tc>
          <w:tcPr>
            <w:tcW w:w="5216" w:type="dxa"/>
          </w:tcPr>
          <w:p w14:paraId="4066253D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Latvijas Organiskās sintēzes institūts</w:t>
            </w:r>
          </w:p>
        </w:tc>
      </w:tr>
      <w:tr w:rsidR="002E14E9" w:rsidRPr="00A53506" w14:paraId="63CB19A4" w14:textId="77777777" w:rsidTr="00C42870">
        <w:trPr>
          <w:trHeight w:val="397"/>
        </w:trPr>
        <w:tc>
          <w:tcPr>
            <w:tcW w:w="4838" w:type="dxa"/>
            <w:gridSpan w:val="2"/>
          </w:tcPr>
          <w:p w14:paraId="4A6D42BB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Pētījuma īstenošanas gads</w:t>
            </w:r>
          </w:p>
        </w:tc>
        <w:tc>
          <w:tcPr>
            <w:tcW w:w="5216" w:type="dxa"/>
          </w:tcPr>
          <w:p w14:paraId="5CA5E83B" w14:textId="1CA8E015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202</w:t>
            </w:r>
            <w:r w:rsidR="00D7072B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.gads</w:t>
            </w:r>
          </w:p>
        </w:tc>
      </w:tr>
      <w:tr w:rsidR="002E14E9" w:rsidRPr="00F80650" w14:paraId="295C2191" w14:textId="77777777" w:rsidTr="00C42870">
        <w:tc>
          <w:tcPr>
            <w:tcW w:w="4838" w:type="dxa"/>
            <w:gridSpan w:val="2"/>
          </w:tcPr>
          <w:p w14:paraId="01A38C3D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Pētījuma finansēšanas summa un finansēšanas avots</w:t>
            </w:r>
          </w:p>
        </w:tc>
        <w:tc>
          <w:tcPr>
            <w:tcW w:w="5216" w:type="dxa"/>
          </w:tcPr>
          <w:p w14:paraId="7A47A399" w14:textId="21566A62" w:rsidR="002E14E9" w:rsidRPr="00357CBA" w:rsidRDefault="00D7072B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9 100</w:t>
            </w:r>
            <w:r w:rsidR="002E14E9" w:rsidRPr="00357CBA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EUR bez PVN, finansēts no budžeta </w:t>
            </w:r>
            <w:proofErr w:type="spellStart"/>
            <w:r w:rsidR="002E14E9" w:rsidRPr="00357CBA">
              <w:rPr>
                <w:rFonts w:ascii="Times New Roman" w:hAnsi="Times New Roman"/>
                <w:sz w:val="24"/>
                <w:szCs w:val="24"/>
                <w:lang w:val="lv-LV" w:eastAsia="lv-LV"/>
              </w:rPr>
              <w:t>apkšprogrammas</w:t>
            </w:r>
            <w:proofErr w:type="spellEnd"/>
            <w:r w:rsidR="002E14E9" w:rsidRPr="00357CBA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70.06. </w:t>
            </w:r>
            <w:r w:rsidR="002E14E9" w:rsidRPr="00357CBA">
              <w:rPr>
                <w:rFonts w:ascii="Times New Roman" w:hAnsi="Times New Roman"/>
                <w:i/>
                <w:iCs/>
                <w:sz w:val="24"/>
                <w:szCs w:val="24"/>
                <w:lang w:val="lv-LV" w:eastAsia="lv-LV"/>
              </w:rPr>
              <w:t xml:space="preserve">Narkotiku uzraudzības monitoringa fokālā punkta darbības nodrošināšana </w:t>
            </w:r>
            <w:r w:rsidR="002E14E9" w:rsidRPr="00357CBA">
              <w:rPr>
                <w:rFonts w:ascii="Times New Roman" w:hAnsi="Times New Roman"/>
                <w:sz w:val="24"/>
                <w:szCs w:val="24"/>
                <w:lang w:val="lv-LV" w:eastAsia="lv-LV"/>
              </w:rPr>
              <w:t>ĀFP.</w:t>
            </w:r>
          </w:p>
        </w:tc>
      </w:tr>
      <w:tr w:rsidR="002E14E9" w:rsidRPr="00A53506" w14:paraId="27EC35F9" w14:textId="77777777" w:rsidTr="00C42870">
        <w:trPr>
          <w:trHeight w:val="397"/>
        </w:trPr>
        <w:tc>
          <w:tcPr>
            <w:tcW w:w="4838" w:type="dxa"/>
            <w:gridSpan w:val="2"/>
          </w:tcPr>
          <w:p w14:paraId="4E8075CA" w14:textId="77777777" w:rsidR="002E14E9" w:rsidRPr="00357CBA" w:rsidDel="00332093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Pētījuma klasifikācija*</w:t>
            </w:r>
          </w:p>
        </w:tc>
        <w:tc>
          <w:tcPr>
            <w:tcW w:w="5216" w:type="dxa"/>
          </w:tcPr>
          <w:p w14:paraId="3133B67A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Regulārs pētījums</w:t>
            </w:r>
          </w:p>
        </w:tc>
      </w:tr>
      <w:tr w:rsidR="002E14E9" w:rsidRPr="00A53506" w14:paraId="3D2AE8D3" w14:textId="77777777" w:rsidTr="00C42870">
        <w:trPr>
          <w:trHeight w:val="397"/>
        </w:trPr>
        <w:tc>
          <w:tcPr>
            <w:tcW w:w="4838" w:type="dxa"/>
            <w:gridSpan w:val="2"/>
          </w:tcPr>
          <w:p w14:paraId="2BDF4828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Politikas joma, nozare**</w:t>
            </w:r>
          </w:p>
        </w:tc>
        <w:tc>
          <w:tcPr>
            <w:tcW w:w="5216" w:type="dxa"/>
          </w:tcPr>
          <w:p w14:paraId="2FDFF0F0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Veselības nozare</w:t>
            </w:r>
          </w:p>
        </w:tc>
      </w:tr>
      <w:tr w:rsidR="002E14E9" w:rsidRPr="00A53506" w14:paraId="4D4A3A3A" w14:textId="77777777" w:rsidTr="00C42870">
        <w:trPr>
          <w:trHeight w:val="397"/>
        </w:trPr>
        <w:tc>
          <w:tcPr>
            <w:tcW w:w="4838" w:type="dxa"/>
            <w:gridSpan w:val="2"/>
          </w:tcPr>
          <w:p w14:paraId="3232C4FD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Pētījuma ģeogrāfiskais aptvērums</w:t>
            </w:r>
          </w:p>
          <w:p w14:paraId="60BBEBAF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(visa Latvija vai noteikts reģions/novads)</w:t>
            </w:r>
          </w:p>
        </w:tc>
        <w:tc>
          <w:tcPr>
            <w:tcW w:w="5216" w:type="dxa"/>
          </w:tcPr>
          <w:p w14:paraId="244D873F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Rīga</w:t>
            </w:r>
          </w:p>
        </w:tc>
      </w:tr>
      <w:tr w:rsidR="002E14E9" w:rsidRPr="00A53506" w14:paraId="262D6121" w14:textId="77777777" w:rsidTr="00C42870">
        <w:trPr>
          <w:trHeight w:val="397"/>
        </w:trPr>
        <w:tc>
          <w:tcPr>
            <w:tcW w:w="4838" w:type="dxa"/>
            <w:gridSpan w:val="2"/>
          </w:tcPr>
          <w:p w14:paraId="33A8A1B5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Pētījuma mērķa grupa/-</w:t>
            </w:r>
            <w:proofErr w:type="spellStart"/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as</w:t>
            </w:r>
            <w:proofErr w:type="spellEnd"/>
          </w:p>
          <w:p w14:paraId="6750600A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(piemēram, Latvijas iedzīvotāji darbspējas vecumā)</w:t>
            </w:r>
          </w:p>
        </w:tc>
        <w:tc>
          <w:tcPr>
            <w:tcW w:w="5216" w:type="dxa"/>
          </w:tcPr>
          <w:p w14:paraId="11813DD2" w14:textId="084588B3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Injicējamo narkotiku lietotāji</w:t>
            </w:r>
            <w:r w:rsidR="007338FF">
              <w:rPr>
                <w:rFonts w:ascii="Times New Roman" w:hAnsi="Times New Roman"/>
                <w:sz w:val="24"/>
                <w:szCs w:val="24"/>
                <w:lang w:val="lv-LV"/>
              </w:rPr>
              <w:t>, politikas veidotāji, pakalpojumu sniedzēji, piemēram, šļirču apmaiņas punkti, ārstniecības iestādes u.c.</w:t>
            </w:r>
          </w:p>
        </w:tc>
      </w:tr>
      <w:tr w:rsidR="002E14E9" w:rsidRPr="00A53506" w14:paraId="2D04B4E3" w14:textId="77777777" w:rsidTr="00C42870">
        <w:trPr>
          <w:trHeight w:val="397"/>
        </w:trPr>
        <w:tc>
          <w:tcPr>
            <w:tcW w:w="4838" w:type="dxa"/>
            <w:gridSpan w:val="2"/>
          </w:tcPr>
          <w:p w14:paraId="35F3FF8A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Pētījumā izmantotās metodes pēc informācijas ieguves veida:</w:t>
            </w:r>
          </w:p>
        </w:tc>
        <w:tc>
          <w:tcPr>
            <w:tcW w:w="5216" w:type="dxa"/>
          </w:tcPr>
          <w:p w14:paraId="6C9F0EB9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E14E9" w:rsidRPr="00A53506" w14:paraId="23376200" w14:textId="77777777" w:rsidTr="00C42870">
        <w:trPr>
          <w:trHeight w:val="397"/>
        </w:trPr>
        <w:tc>
          <w:tcPr>
            <w:tcW w:w="817" w:type="dxa"/>
            <w:vMerge w:val="restart"/>
          </w:tcPr>
          <w:p w14:paraId="289C2EAD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0AB75DE5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1) tiesību aktu vai politikas plānošanas dokumentu analīze</w:t>
            </w:r>
          </w:p>
        </w:tc>
        <w:tc>
          <w:tcPr>
            <w:tcW w:w="5216" w:type="dxa"/>
          </w:tcPr>
          <w:p w14:paraId="3799D2C3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3A2CB607" w14:textId="77777777" w:rsidTr="00C42870">
        <w:trPr>
          <w:trHeight w:val="397"/>
        </w:trPr>
        <w:tc>
          <w:tcPr>
            <w:tcW w:w="817" w:type="dxa"/>
            <w:vMerge/>
          </w:tcPr>
          <w:p w14:paraId="1EB767B4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7D1225BA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2) statistikas datu analīze</w:t>
            </w:r>
          </w:p>
        </w:tc>
        <w:tc>
          <w:tcPr>
            <w:tcW w:w="5216" w:type="dxa"/>
          </w:tcPr>
          <w:p w14:paraId="3C3E3965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421EB2" w14:paraId="5CF170DE" w14:textId="77777777" w:rsidTr="00C42870">
        <w:trPr>
          <w:trHeight w:val="397"/>
        </w:trPr>
        <w:tc>
          <w:tcPr>
            <w:tcW w:w="817" w:type="dxa"/>
            <w:vMerge/>
          </w:tcPr>
          <w:p w14:paraId="604FF851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76F62A18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3) esošo pētījumu datu sekundārā analīze</w:t>
            </w:r>
          </w:p>
        </w:tc>
        <w:tc>
          <w:tcPr>
            <w:tcW w:w="5216" w:type="dxa"/>
          </w:tcPr>
          <w:p w14:paraId="5CB9BF6C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1FFF06D4" w14:textId="77777777" w:rsidTr="00C42870">
        <w:trPr>
          <w:trHeight w:val="397"/>
        </w:trPr>
        <w:tc>
          <w:tcPr>
            <w:tcW w:w="817" w:type="dxa"/>
            <w:vMerge/>
          </w:tcPr>
          <w:p w14:paraId="3583DE4C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1EF3E7CC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4) padziļināto/ekspertu interviju veikšana un analīze</w:t>
            </w:r>
          </w:p>
        </w:tc>
        <w:tc>
          <w:tcPr>
            <w:tcW w:w="5216" w:type="dxa"/>
          </w:tcPr>
          <w:p w14:paraId="0E103CF4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0BE43770" w14:textId="77777777" w:rsidTr="00C42870">
        <w:trPr>
          <w:trHeight w:val="397"/>
        </w:trPr>
        <w:tc>
          <w:tcPr>
            <w:tcW w:w="817" w:type="dxa"/>
            <w:vMerge/>
          </w:tcPr>
          <w:p w14:paraId="15B5B09C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76450FFC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5) fokusa grupu diskusiju veikšana un analīze</w:t>
            </w:r>
          </w:p>
        </w:tc>
        <w:tc>
          <w:tcPr>
            <w:tcW w:w="5216" w:type="dxa"/>
          </w:tcPr>
          <w:p w14:paraId="5283230B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327BE85D" w14:textId="77777777" w:rsidTr="00C42870">
        <w:trPr>
          <w:trHeight w:val="397"/>
        </w:trPr>
        <w:tc>
          <w:tcPr>
            <w:tcW w:w="817" w:type="dxa"/>
            <w:vMerge/>
          </w:tcPr>
          <w:p w14:paraId="4D2F8061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325CE806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6) gadījumu izpēte</w:t>
            </w:r>
          </w:p>
        </w:tc>
        <w:tc>
          <w:tcPr>
            <w:tcW w:w="5216" w:type="dxa"/>
          </w:tcPr>
          <w:p w14:paraId="313DFF67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3422FF65" w14:textId="77777777" w:rsidTr="00C42870">
        <w:trPr>
          <w:trHeight w:val="397"/>
        </w:trPr>
        <w:tc>
          <w:tcPr>
            <w:tcW w:w="817" w:type="dxa"/>
            <w:vMerge/>
          </w:tcPr>
          <w:p w14:paraId="568DF85F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1F7E4462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7) kvantitatīvās aptaujas veikšana un datu analīze</w:t>
            </w:r>
          </w:p>
        </w:tc>
        <w:tc>
          <w:tcPr>
            <w:tcW w:w="5216" w:type="dxa"/>
          </w:tcPr>
          <w:p w14:paraId="4A121E58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F80650" w14:paraId="6B655C71" w14:textId="77777777" w:rsidTr="00C42870">
        <w:trPr>
          <w:trHeight w:val="397"/>
        </w:trPr>
        <w:tc>
          <w:tcPr>
            <w:tcW w:w="817" w:type="dxa"/>
            <w:vMerge/>
          </w:tcPr>
          <w:p w14:paraId="3DAC8EF9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1FF5B2A9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8) </w:t>
            </w:r>
            <w:r w:rsidRPr="007338FF">
              <w:rPr>
                <w:rFonts w:ascii="Times New Roman" w:hAnsi="Times New Roman"/>
                <w:sz w:val="24"/>
                <w:szCs w:val="24"/>
                <w:lang w:val="lv-LV"/>
              </w:rPr>
              <w:t>citas metodes (norādīt, kādas)</w:t>
            </w:r>
          </w:p>
        </w:tc>
        <w:tc>
          <w:tcPr>
            <w:tcW w:w="5216" w:type="dxa"/>
          </w:tcPr>
          <w:p w14:paraId="2FD3CCD2" w14:textId="77777777" w:rsidR="002E14E9" w:rsidRPr="00357CBA" w:rsidRDefault="008B1834" w:rsidP="008B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Ī</w:t>
            </w:r>
            <w:r w:rsidRPr="008B1834">
              <w:rPr>
                <w:rFonts w:ascii="Times New Roman" w:hAnsi="Times New Roman"/>
                <w:sz w:val="24"/>
                <w:szCs w:val="24"/>
                <w:lang w:val="lv-LV"/>
              </w:rPr>
              <w:t>paši augstas efektivitātes (UHPLC) šķidrumu hromatogrāfijas metod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e</w:t>
            </w:r>
            <w:r w:rsidRPr="008B183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ar augstas izšķi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ršanas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masselektīvo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detektēšanu</w:t>
            </w:r>
          </w:p>
        </w:tc>
      </w:tr>
      <w:tr w:rsidR="002E14E9" w:rsidRPr="00A53506" w14:paraId="7410FA21" w14:textId="77777777" w:rsidTr="00C42870">
        <w:trPr>
          <w:trHeight w:val="397"/>
        </w:trPr>
        <w:tc>
          <w:tcPr>
            <w:tcW w:w="4838" w:type="dxa"/>
            <w:gridSpan w:val="2"/>
          </w:tcPr>
          <w:p w14:paraId="2A98582F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pacing w:val="-2"/>
                <w:sz w:val="24"/>
                <w:szCs w:val="24"/>
                <w:lang w:val="lv-LV"/>
              </w:rPr>
              <w:t xml:space="preserve">Kvantitatīvās pētījuma metodes </w:t>
            </w:r>
            <w:r w:rsidRPr="00357CBA">
              <w:rPr>
                <w:rFonts w:ascii="Times New Roman" w:hAnsi="Times New Roman"/>
                <w:b/>
                <w:spacing w:val="-2"/>
                <w:sz w:val="24"/>
                <w:szCs w:val="24"/>
                <w:lang w:val="lv-LV"/>
              </w:rPr>
              <w:br/>
            </w:r>
            <w:r w:rsidRPr="00357CBA"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  <w:t>(ja attiecināms):</w:t>
            </w:r>
          </w:p>
        </w:tc>
        <w:tc>
          <w:tcPr>
            <w:tcW w:w="5216" w:type="dxa"/>
          </w:tcPr>
          <w:p w14:paraId="317BC3BD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E14E9" w:rsidRPr="00A53506" w14:paraId="1C5DEAF7" w14:textId="77777777" w:rsidTr="00C42870">
        <w:trPr>
          <w:trHeight w:val="397"/>
        </w:trPr>
        <w:tc>
          <w:tcPr>
            <w:tcW w:w="817" w:type="dxa"/>
          </w:tcPr>
          <w:p w14:paraId="4A58C756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4AE4181E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  <w:t>1) aptaujas izlases metode</w:t>
            </w:r>
          </w:p>
        </w:tc>
        <w:tc>
          <w:tcPr>
            <w:tcW w:w="5216" w:type="dxa"/>
          </w:tcPr>
          <w:p w14:paraId="2B7E03A0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14EA835A" w14:textId="77777777" w:rsidTr="00C42870">
        <w:trPr>
          <w:trHeight w:val="397"/>
        </w:trPr>
        <w:tc>
          <w:tcPr>
            <w:tcW w:w="817" w:type="dxa"/>
          </w:tcPr>
          <w:p w14:paraId="5A0BD767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135363CF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  <w:t>2) aptaujāto/anketēto respondentu/vienību skaits</w:t>
            </w:r>
          </w:p>
        </w:tc>
        <w:tc>
          <w:tcPr>
            <w:tcW w:w="5216" w:type="dxa"/>
          </w:tcPr>
          <w:p w14:paraId="0128CA6E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355FE8D1" w14:textId="77777777" w:rsidTr="00C42870">
        <w:trPr>
          <w:trHeight w:val="397"/>
        </w:trPr>
        <w:tc>
          <w:tcPr>
            <w:tcW w:w="4838" w:type="dxa"/>
            <w:gridSpan w:val="2"/>
          </w:tcPr>
          <w:p w14:paraId="03BDDFAE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pacing w:val="-2"/>
                <w:sz w:val="24"/>
                <w:szCs w:val="24"/>
                <w:lang w:val="lv-LV"/>
              </w:rPr>
              <w:lastRenderedPageBreak/>
              <w:t xml:space="preserve">Kvalitatīvās pētījuma metodes </w:t>
            </w:r>
            <w:r w:rsidRPr="00357CBA">
              <w:rPr>
                <w:rFonts w:ascii="Times New Roman" w:hAnsi="Times New Roman"/>
                <w:b/>
                <w:spacing w:val="-2"/>
                <w:sz w:val="24"/>
                <w:szCs w:val="24"/>
                <w:lang w:val="lv-LV"/>
              </w:rPr>
              <w:br/>
            </w:r>
            <w:r w:rsidRPr="00357CBA">
              <w:rPr>
                <w:rFonts w:ascii="Times New Roman" w:hAnsi="Times New Roman"/>
                <w:spacing w:val="-2"/>
                <w:sz w:val="24"/>
                <w:szCs w:val="24"/>
                <w:lang w:val="lv-LV"/>
              </w:rPr>
              <w:t>(ja attiecināms):</w:t>
            </w:r>
          </w:p>
        </w:tc>
        <w:tc>
          <w:tcPr>
            <w:tcW w:w="5216" w:type="dxa"/>
          </w:tcPr>
          <w:p w14:paraId="263AB5DF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E14E9" w:rsidRPr="00A53506" w14:paraId="65DC5C40" w14:textId="77777777" w:rsidTr="00C42870">
        <w:trPr>
          <w:trHeight w:val="397"/>
        </w:trPr>
        <w:tc>
          <w:tcPr>
            <w:tcW w:w="817" w:type="dxa"/>
          </w:tcPr>
          <w:p w14:paraId="3B736FFB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569BCE68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1) padziļināto/ekspertu interviju skaits </w:t>
            </w: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(ja attiecināms)</w:t>
            </w:r>
          </w:p>
        </w:tc>
        <w:tc>
          <w:tcPr>
            <w:tcW w:w="5216" w:type="dxa"/>
          </w:tcPr>
          <w:p w14:paraId="324A4240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6E576A69" w14:textId="77777777" w:rsidTr="00C42870">
        <w:trPr>
          <w:trHeight w:val="397"/>
        </w:trPr>
        <w:tc>
          <w:tcPr>
            <w:tcW w:w="817" w:type="dxa"/>
          </w:tcPr>
          <w:p w14:paraId="51CBFCA2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21" w:type="dxa"/>
          </w:tcPr>
          <w:p w14:paraId="19A7B695" w14:textId="77777777" w:rsidR="002E14E9" w:rsidRPr="00357CBA" w:rsidRDefault="002E14E9" w:rsidP="00357CB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2) fokusa grupu diskusiju skaits </w:t>
            </w: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(ja attiecināms)</w:t>
            </w:r>
          </w:p>
        </w:tc>
        <w:tc>
          <w:tcPr>
            <w:tcW w:w="5216" w:type="dxa"/>
          </w:tcPr>
          <w:p w14:paraId="521442E7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66715084" w14:textId="77777777" w:rsidTr="00C42870">
        <w:trPr>
          <w:trHeight w:val="397"/>
        </w:trPr>
        <w:tc>
          <w:tcPr>
            <w:tcW w:w="4838" w:type="dxa"/>
            <w:gridSpan w:val="2"/>
          </w:tcPr>
          <w:p w14:paraId="2A9A3DD3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338F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Izmantotās analīzes grupas (griezumi)</w:t>
            </w:r>
          </w:p>
        </w:tc>
        <w:tc>
          <w:tcPr>
            <w:tcW w:w="5216" w:type="dxa"/>
          </w:tcPr>
          <w:p w14:paraId="7A428EE8" w14:textId="6E99FC4A" w:rsidR="002E14E9" w:rsidRPr="00357CBA" w:rsidRDefault="007338FF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</w:tr>
      <w:tr w:rsidR="002E14E9" w:rsidRPr="00A53506" w14:paraId="4D2D871D" w14:textId="77777777" w:rsidTr="00C42870">
        <w:trPr>
          <w:trHeight w:val="397"/>
        </w:trPr>
        <w:tc>
          <w:tcPr>
            <w:tcW w:w="4838" w:type="dxa"/>
            <w:gridSpan w:val="2"/>
          </w:tcPr>
          <w:p w14:paraId="242ACA12" w14:textId="77777777" w:rsidR="002E14E9" w:rsidRPr="00357CBA" w:rsidDel="00404062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Pētījuma pasūtītāja kontaktinformācija</w:t>
            </w:r>
          </w:p>
        </w:tc>
        <w:tc>
          <w:tcPr>
            <w:tcW w:w="5216" w:type="dxa"/>
          </w:tcPr>
          <w:p w14:paraId="1896E085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Slimību profilakses un kontroles centra</w:t>
            </w:r>
          </w:p>
          <w:p w14:paraId="6F3008D5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Atkarības slimību riska analīzes nodaļas</w:t>
            </w:r>
          </w:p>
          <w:p w14:paraId="20CFCE43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Sabiedrības veselības organizatore- fokālā punkta vadītāja Ieva Pūgule</w:t>
            </w:r>
          </w:p>
          <w:p w14:paraId="5F28B5FB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epasts</w:t>
            </w:r>
            <w:proofErr w:type="spellEnd"/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: </w:t>
            </w:r>
            <w:hyperlink r:id="rId7" w:history="1">
              <w:r w:rsidRPr="00357CBA">
                <w:rPr>
                  <w:rStyle w:val="Hyperlink"/>
                  <w:rFonts w:ascii="Times New Roman" w:hAnsi="Times New Roman"/>
                  <w:sz w:val="24"/>
                  <w:szCs w:val="24"/>
                  <w:lang w:val="lv-LV"/>
                </w:rPr>
                <w:t>ieva.pugule@spkc.gov.lv</w:t>
              </w:r>
            </w:hyperlink>
          </w:p>
          <w:p w14:paraId="37DA4FA0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7CBA">
              <w:rPr>
                <w:rFonts w:ascii="Times New Roman" w:hAnsi="Times New Roman"/>
                <w:sz w:val="24"/>
                <w:szCs w:val="24"/>
                <w:lang w:val="lv-LV"/>
              </w:rPr>
              <w:t>Tālrunis: 67387676</w:t>
            </w:r>
          </w:p>
        </w:tc>
      </w:tr>
      <w:tr w:rsidR="002E14E9" w:rsidRPr="00A53506" w14:paraId="41AF76D5" w14:textId="77777777" w:rsidTr="007338FF">
        <w:trPr>
          <w:trHeight w:val="398"/>
        </w:trPr>
        <w:tc>
          <w:tcPr>
            <w:tcW w:w="4838" w:type="dxa"/>
            <w:gridSpan w:val="2"/>
          </w:tcPr>
          <w:p w14:paraId="66A54324" w14:textId="77777777" w:rsidR="002E14E9" w:rsidRPr="00357CBA" w:rsidRDefault="002E14E9" w:rsidP="00357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338F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Pētījuma autori*** (autortiesību subjekti)</w:t>
            </w:r>
            <w:r w:rsidRPr="00357CB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216" w:type="dxa"/>
          </w:tcPr>
          <w:p w14:paraId="6D0DB396" w14:textId="60DE46A9" w:rsidR="002E14E9" w:rsidRPr="007338FF" w:rsidRDefault="007338FF" w:rsidP="0035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338F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Dr.chem</w:t>
            </w:r>
            <w:proofErr w:type="spellEnd"/>
            <w:r w:rsidRPr="007338F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. Solveiga </w:t>
            </w:r>
            <w:proofErr w:type="spellStart"/>
            <w:r w:rsidRPr="007338F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Grīnberga</w:t>
            </w:r>
            <w:proofErr w:type="spellEnd"/>
            <w:r w:rsidRPr="007338F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38F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un M.Sc. </w:t>
            </w:r>
            <w:proofErr w:type="spellStart"/>
            <w:r w:rsidRPr="007338F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Eduards</w:t>
            </w:r>
            <w:proofErr w:type="spellEnd"/>
            <w:proofErr w:type="gramEnd"/>
            <w:r w:rsidRPr="007338F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38FF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Sevostjanovs</w:t>
            </w:r>
            <w:proofErr w:type="spellEnd"/>
          </w:p>
        </w:tc>
      </w:tr>
    </w:tbl>
    <w:p w14:paraId="036E8E3E" w14:textId="77777777" w:rsidR="002E14E9" w:rsidRPr="00A53506" w:rsidRDefault="002E14E9" w:rsidP="002A3F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353913A" w14:textId="77777777" w:rsidR="002E14E9" w:rsidRPr="00A53506" w:rsidRDefault="002E14E9" w:rsidP="00AA4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A53506">
        <w:rPr>
          <w:rFonts w:ascii="Times New Roman" w:hAnsi="Times New Roman"/>
          <w:sz w:val="24"/>
          <w:szCs w:val="24"/>
          <w:lang w:val="lv-LV"/>
        </w:rPr>
        <w:t>Piezīmes.</w:t>
      </w:r>
    </w:p>
    <w:p w14:paraId="77F73A74" w14:textId="77777777" w:rsidR="002E14E9" w:rsidRPr="00A53506" w:rsidRDefault="002E14E9" w:rsidP="00AA40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A53506">
        <w:rPr>
          <w:rFonts w:ascii="Times New Roman" w:hAnsi="Times New Roman"/>
          <w:sz w:val="24"/>
          <w:szCs w:val="24"/>
          <w:lang w:val="lv-LV"/>
        </w:rPr>
        <w:t xml:space="preserve">1. Pielikumā norādītā informācija </w:t>
      </w:r>
      <w:r w:rsidRPr="00A53506">
        <w:rPr>
          <w:rFonts w:ascii="Times New Roman" w:hAnsi="Times New Roman"/>
          <w:i/>
          <w:sz w:val="24"/>
          <w:szCs w:val="24"/>
          <w:lang w:val="lv-LV"/>
        </w:rPr>
        <w:t>Word</w:t>
      </w:r>
      <w:r w:rsidRPr="00A53506">
        <w:rPr>
          <w:rFonts w:ascii="Times New Roman" w:hAnsi="Times New Roman"/>
          <w:sz w:val="24"/>
          <w:szCs w:val="24"/>
          <w:lang w:val="lv-LV"/>
        </w:rPr>
        <w:t xml:space="preserve"> formātā </w:t>
      </w:r>
      <w:proofErr w:type="spellStart"/>
      <w:r w:rsidRPr="00A53506">
        <w:rPr>
          <w:rFonts w:ascii="Times New Roman" w:hAnsi="Times New Roman"/>
          <w:sz w:val="24"/>
          <w:szCs w:val="24"/>
          <w:lang w:val="lv-LV"/>
        </w:rPr>
        <w:t>jānosūta</w:t>
      </w:r>
      <w:proofErr w:type="spellEnd"/>
      <w:r w:rsidRPr="00A53506">
        <w:rPr>
          <w:rFonts w:ascii="Times New Roman" w:hAnsi="Times New Roman"/>
          <w:sz w:val="24"/>
          <w:szCs w:val="24"/>
          <w:lang w:val="lv-LV"/>
        </w:rPr>
        <w:t xml:space="preserve"> uz elektroniskā pasta adresi </w:t>
      </w:r>
      <w:hyperlink r:id="rId8" w:history="1">
        <w:r w:rsidRPr="00A5350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pkc@pkc.mk.gov.lv</w:t>
        </w:r>
      </w:hyperlink>
      <w:r w:rsidRPr="00A53506">
        <w:rPr>
          <w:rFonts w:ascii="Times New Roman" w:hAnsi="Times New Roman"/>
          <w:sz w:val="24"/>
          <w:szCs w:val="24"/>
          <w:lang w:val="lv-LV"/>
        </w:rPr>
        <w:t>.</w:t>
      </w:r>
    </w:p>
    <w:p w14:paraId="628A72EB" w14:textId="77777777" w:rsidR="002E14E9" w:rsidRDefault="002E14E9" w:rsidP="00AA4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A53506">
        <w:rPr>
          <w:rFonts w:ascii="Times New Roman" w:hAnsi="Times New Roman"/>
          <w:sz w:val="24"/>
          <w:szCs w:val="24"/>
          <w:lang w:val="lv-LV"/>
        </w:rPr>
        <w:t>2. * Pētījuma klasifikācijas grupa atbilstoši Ministru kabineta 2013.gada</w:t>
      </w:r>
      <w:r>
        <w:rPr>
          <w:rFonts w:ascii="Times New Roman" w:hAnsi="Times New Roman"/>
          <w:sz w:val="24"/>
          <w:szCs w:val="24"/>
          <w:lang w:val="lv-LV"/>
        </w:rPr>
        <w:t xml:space="preserve"> ......................</w:t>
      </w:r>
      <w:r w:rsidRPr="00A5350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</w:t>
      </w:r>
    </w:p>
    <w:p w14:paraId="74678818" w14:textId="77777777" w:rsidR="002E14E9" w:rsidRPr="00A53506" w:rsidRDefault="002E14E9" w:rsidP="008F3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53506">
        <w:rPr>
          <w:rFonts w:ascii="Times New Roman" w:hAnsi="Times New Roman"/>
          <w:sz w:val="24"/>
          <w:szCs w:val="24"/>
          <w:lang w:val="lv-LV"/>
        </w:rPr>
        <w:t xml:space="preserve"> noteikumu Nr.</w:t>
      </w:r>
      <w:r>
        <w:rPr>
          <w:rFonts w:ascii="Times New Roman" w:hAnsi="Times New Roman"/>
          <w:sz w:val="24"/>
          <w:szCs w:val="24"/>
          <w:lang w:val="lv-LV"/>
        </w:rPr>
        <w:t xml:space="preserve">..... </w:t>
      </w:r>
      <w:r w:rsidRPr="00A53506">
        <w:rPr>
          <w:rFonts w:ascii="Times New Roman" w:hAnsi="Times New Roman"/>
          <w:sz w:val="24"/>
          <w:szCs w:val="24"/>
          <w:lang w:val="lv-LV"/>
        </w:rPr>
        <w:t xml:space="preserve">"Kārtība, kādā publiska persona </w:t>
      </w:r>
      <w:proofErr w:type="spellStart"/>
      <w:r w:rsidRPr="00A53506">
        <w:rPr>
          <w:rFonts w:ascii="Times New Roman" w:hAnsi="Times New Roman"/>
          <w:sz w:val="24"/>
          <w:szCs w:val="24"/>
          <w:lang w:val="lv-LV"/>
        </w:rPr>
        <w:t>pasūta</w:t>
      </w:r>
      <w:proofErr w:type="spellEnd"/>
      <w:r w:rsidRPr="00A53506">
        <w:rPr>
          <w:rFonts w:ascii="Times New Roman" w:hAnsi="Times New Roman"/>
          <w:sz w:val="24"/>
          <w:szCs w:val="24"/>
          <w:lang w:val="lv-LV"/>
        </w:rPr>
        <w:t xml:space="preserve"> pētījumus" II nodaļai.</w:t>
      </w:r>
    </w:p>
    <w:p w14:paraId="42DD020C" w14:textId="77777777" w:rsidR="002E14E9" w:rsidRPr="00A53506" w:rsidRDefault="002E14E9" w:rsidP="00AA4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A53506">
        <w:rPr>
          <w:rFonts w:ascii="Times New Roman" w:hAnsi="Times New Roman"/>
          <w:sz w:val="24"/>
          <w:szCs w:val="24"/>
          <w:lang w:val="lv-LV"/>
        </w:rPr>
        <w:t>3. **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A53506">
        <w:rPr>
          <w:rFonts w:ascii="Times New Roman" w:hAnsi="Times New Roman"/>
          <w:sz w:val="24"/>
          <w:szCs w:val="24"/>
          <w:lang w:val="lv-LV"/>
        </w:rPr>
        <w:t>Politikas joma un nozare atbilstoši Ministru kabineta 2009.gada 7.aprīļa noteikumu Nr.300 "Ministru kabineta kārtības rullis" 3.pielikumam.</w:t>
      </w:r>
    </w:p>
    <w:p w14:paraId="33A44D9E" w14:textId="77777777" w:rsidR="002E14E9" w:rsidRPr="00A53506" w:rsidRDefault="002E14E9" w:rsidP="009F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A53506">
        <w:rPr>
          <w:rFonts w:ascii="Times New Roman" w:hAnsi="Times New Roman"/>
          <w:sz w:val="24"/>
          <w:szCs w:val="24"/>
          <w:lang w:val="lv-LV"/>
        </w:rPr>
        <w:t>4. *** Atbilstoši pētījuma īstenotāja sniegtajai informācijai.</w:t>
      </w:r>
    </w:p>
    <w:p w14:paraId="41427646" w14:textId="77777777" w:rsidR="002E14E9" w:rsidRPr="00A53506" w:rsidRDefault="002E14E9" w:rsidP="009F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2E14E9" w:rsidRPr="00A53506" w:rsidSect="00C4772D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418" w:right="1134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AA9E" w14:textId="77777777" w:rsidR="001F0AF1" w:rsidRDefault="001F0AF1" w:rsidP="0089522B">
      <w:pPr>
        <w:spacing w:after="0" w:line="240" w:lineRule="auto"/>
      </w:pPr>
      <w:r>
        <w:separator/>
      </w:r>
    </w:p>
  </w:endnote>
  <w:endnote w:type="continuationSeparator" w:id="0">
    <w:p w14:paraId="552FA225" w14:textId="77777777" w:rsidR="001F0AF1" w:rsidRDefault="001F0AF1" w:rsidP="0089522B">
      <w:pPr>
        <w:spacing w:after="0" w:line="240" w:lineRule="auto"/>
      </w:pPr>
      <w:r>
        <w:continuationSeparator/>
      </w:r>
    </w:p>
  </w:endnote>
  <w:endnote w:type="continuationNotice" w:id="1">
    <w:p w14:paraId="1A791427" w14:textId="77777777" w:rsidR="001F0AF1" w:rsidRDefault="001F0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AE20" w14:textId="77777777" w:rsidR="002E14E9" w:rsidRPr="00C4772D" w:rsidRDefault="002E14E9" w:rsidP="00A93E39">
    <w:pPr>
      <w:pStyle w:val="Footer"/>
      <w:rPr>
        <w:sz w:val="16"/>
        <w:szCs w:val="20"/>
      </w:rPr>
    </w:pPr>
    <w:r w:rsidRPr="00C4772D">
      <w:rPr>
        <w:sz w:val="16"/>
        <w:szCs w:val="20"/>
      </w:rPr>
      <w:t>MKnot_petijumi_3pielik_181212; (68010)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EC64" w14:textId="77777777" w:rsidR="002E14E9" w:rsidRPr="00C4772D" w:rsidRDefault="002E14E9" w:rsidP="000C0CBA">
    <w:pPr>
      <w:pStyle w:val="Footer"/>
      <w:rPr>
        <w:sz w:val="16"/>
        <w:szCs w:val="20"/>
      </w:rPr>
    </w:pPr>
    <w:r w:rsidRPr="00C4772D">
      <w:rPr>
        <w:sz w:val="16"/>
        <w:szCs w:val="20"/>
      </w:rPr>
      <w:t>MKnot_petijumi_3pielik_181212; (68010)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31C5" w14:textId="77777777" w:rsidR="001F0AF1" w:rsidRDefault="001F0AF1" w:rsidP="0089522B">
      <w:pPr>
        <w:spacing w:after="0" w:line="240" w:lineRule="auto"/>
      </w:pPr>
      <w:r>
        <w:separator/>
      </w:r>
    </w:p>
  </w:footnote>
  <w:footnote w:type="continuationSeparator" w:id="0">
    <w:p w14:paraId="3BE92026" w14:textId="77777777" w:rsidR="001F0AF1" w:rsidRDefault="001F0AF1" w:rsidP="0089522B">
      <w:pPr>
        <w:spacing w:after="0" w:line="240" w:lineRule="auto"/>
      </w:pPr>
      <w:r>
        <w:continuationSeparator/>
      </w:r>
    </w:p>
  </w:footnote>
  <w:footnote w:type="continuationNotice" w:id="1">
    <w:p w14:paraId="363CE0FD" w14:textId="77777777" w:rsidR="001F0AF1" w:rsidRDefault="001F0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28D8" w14:textId="77777777" w:rsidR="002E14E9" w:rsidRDefault="002E14E9" w:rsidP="00421E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CEA3D7" w14:textId="77777777" w:rsidR="002E14E9" w:rsidRDefault="002E1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AF75" w14:textId="77777777" w:rsidR="002E14E9" w:rsidRPr="00EC60FF" w:rsidRDefault="002E14E9" w:rsidP="00421EB2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EC60FF">
      <w:rPr>
        <w:rStyle w:val="PageNumber"/>
        <w:rFonts w:ascii="Times New Roman" w:hAnsi="Times New Roman"/>
        <w:sz w:val="24"/>
        <w:szCs w:val="24"/>
      </w:rPr>
      <w:fldChar w:fldCharType="begin"/>
    </w:r>
    <w:r w:rsidRPr="00EC60F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EC60FF">
      <w:rPr>
        <w:rStyle w:val="PageNumber"/>
        <w:rFonts w:ascii="Times New Roman" w:hAnsi="Times New Roman"/>
        <w:sz w:val="24"/>
        <w:szCs w:val="24"/>
      </w:rPr>
      <w:fldChar w:fldCharType="separate"/>
    </w:r>
    <w:r w:rsidR="00F80650">
      <w:rPr>
        <w:rStyle w:val="PageNumber"/>
        <w:rFonts w:ascii="Times New Roman" w:hAnsi="Times New Roman"/>
        <w:noProof/>
        <w:sz w:val="24"/>
        <w:szCs w:val="24"/>
      </w:rPr>
      <w:t>3</w:t>
    </w:r>
    <w:r w:rsidRPr="00EC60FF">
      <w:rPr>
        <w:rStyle w:val="PageNumber"/>
        <w:rFonts w:ascii="Times New Roman" w:hAnsi="Times New Roman"/>
        <w:sz w:val="24"/>
        <w:szCs w:val="24"/>
      </w:rPr>
      <w:fldChar w:fldCharType="end"/>
    </w:r>
  </w:p>
  <w:p w14:paraId="3A4ABF18" w14:textId="77777777" w:rsidR="002E14E9" w:rsidRDefault="002E1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53D"/>
    <w:multiLevelType w:val="hybridMultilevel"/>
    <w:tmpl w:val="6C70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50630"/>
    <w:multiLevelType w:val="multilevel"/>
    <w:tmpl w:val="3F9473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0960EE2"/>
    <w:multiLevelType w:val="hybridMultilevel"/>
    <w:tmpl w:val="20523C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F3216"/>
    <w:multiLevelType w:val="multilevel"/>
    <w:tmpl w:val="64B03DE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640786E"/>
    <w:multiLevelType w:val="multilevel"/>
    <w:tmpl w:val="C1021B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B350BA"/>
    <w:multiLevelType w:val="hybridMultilevel"/>
    <w:tmpl w:val="678CB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CD4986"/>
    <w:multiLevelType w:val="hybridMultilevel"/>
    <w:tmpl w:val="BBAE810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C15CED"/>
    <w:multiLevelType w:val="hybridMultilevel"/>
    <w:tmpl w:val="2E4A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9188445">
    <w:abstractNumId w:val="0"/>
  </w:num>
  <w:num w:numId="2" w16cid:durableId="1388725492">
    <w:abstractNumId w:val="7"/>
  </w:num>
  <w:num w:numId="3" w16cid:durableId="1352226102">
    <w:abstractNumId w:val="2"/>
  </w:num>
  <w:num w:numId="4" w16cid:durableId="2003973324">
    <w:abstractNumId w:val="6"/>
  </w:num>
  <w:num w:numId="5" w16cid:durableId="590746700">
    <w:abstractNumId w:val="3"/>
  </w:num>
  <w:num w:numId="6" w16cid:durableId="1198541819">
    <w:abstractNumId w:val="1"/>
  </w:num>
  <w:num w:numId="7" w16cid:durableId="622811179">
    <w:abstractNumId w:val="5"/>
  </w:num>
  <w:num w:numId="8" w16cid:durableId="1810130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11"/>
    <w:rsid w:val="00007525"/>
    <w:rsid w:val="00010D2B"/>
    <w:rsid w:val="000252B1"/>
    <w:rsid w:val="00053FAC"/>
    <w:rsid w:val="000A0241"/>
    <w:rsid w:val="000B0258"/>
    <w:rsid w:val="000B136C"/>
    <w:rsid w:val="000B785D"/>
    <w:rsid w:val="000C0CBA"/>
    <w:rsid w:val="000D1E96"/>
    <w:rsid w:val="000F2ADC"/>
    <w:rsid w:val="000F6076"/>
    <w:rsid w:val="00104E91"/>
    <w:rsid w:val="00117908"/>
    <w:rsid w:val="001473BA"/>
    <w:rsid w:val="00147B36"/>
    <w:rsid w:val="001B196E"/>
    <w:rsid w:val="001C6FA0"/>
    <w:rsid w:val="001E2282"/>
    <w:rsid w:val="001E52D3"/>
    <w:rsid w:val="001F0AF1"/>
    <w:rsid w:val="001F6947"/>
    <w:rsid w:val="002145AA"/>
    <w:rsid w:val="00224E7E"/>
    <w:rsid w:val="00226790"/>
    <w:rsid w:val="00245864"/>
    <w:rsid w:val="00254927"/>
    <w:rsid w:val="0027097C"/>
    <w:rsid w:val="00272FBB"/>
    <w:rsid w:val="00282D9A"/>
    <w:rsid w:val="002933FE"/>
    <w:rsid w:val="002A3BA1"/>
    <w:rsid w:val="002A3FB9"/>
    <w:rsid w:val="002D26DD"/>
    <w:rsid w:val="002E14E9"/>
    <w:rsid w:val="00332093"/>
    <w:rsid w:val="00355D7C"/>
    <w:rsid w:val="00357CBA"/>
    <w:rsid w:val="0037020F"/>
    <w:rsid w:val="00395A0A"/>
    <w:rsid w:val="003A5D71"/>
    <w:rsid w:val="003B7225"/>
    <w:rsid w:val="00404062"/>
    <w:rsid w:val="00416C31"/>
    <w:rsid w:val="00421EB2"/>
    <w:rsid w:val="00431929"/>
    <w:rsid w:val="004449BC"/>
    <w:rsid w:val="00451E29"/>
    <w:rsid w:val="00466743"/>
    <w:rsid w:val="004B2266"/>
    <w:rsid w:val="004E1C4B"/>
    <w:rsid w:val="004F2C7F"/>
    <w:rsid w:val="004F3CFC"/>
    <w:rsid w:val="00502E6D"/>
    <w:rsid w:val="00536238"/>
    <w:rsid w:val="005C5606"/>
    <w:rsid w:val="005E4057"/>
    <w:rsid w:val="00613708"/>
    <w:rsid w:val="006478A9"/>
    <w:rsid w:val="00661ED2"/>
    <w:rsid w:val="00667BC0"/>
    <w:rsid w:val="006976B2"/>
    <w:rsid w:val="006A320D"/>
    <w:rsid w:val="006C6DE8"/>
    <w:rsid w:val="006D2399"/>
    <w:rsid w:val="0071638D"/>
    <w:rsid w:val="007338FF"/>
    <w:rsid w:val="00786B0C"/>
    <w:rsid w:val="007D5C43"/>
    <w:rsid w:val="00895101"/>
    <w:rsid w:val="0089522B"/>
    <w:rsid w:val="008A28A5"/>
    <w:rsid w:val="008A3751"/>
    <w:rsid w:val="008A534F"/>
    <w:rsid w:val="008B12F6"/>
    <w:rsid w:val="008B1834"/>
    <w:rsid w:val="008B2142"/>
    <w:rsid w:val="008C30BF"/>
    <w:rsid w:val="008F3FAA"/>
    <w:rsid w:val="00906EA7"/>
    <w:rsid w:val="009475C1"/>
    <w:rsid w:val="009504D0"/>
    <w:rsid w:val="0095785A"/>
    <w:rsid w:val="00965C49"/>
    <w:rsid w:val="00985BB7"/>
    <w:rsid w:val="00986893"/>
    <w:rsid w:val="009A652F"/>
    <w:rsid w:val="009C3E7C"/>
    <w:rsid w:val="009F1C7E"/>
    <w:rsid w:val="00A04157"/>
    <w:rsid w:val="00A30C4F"/>
    <w:rsid w:val="00A53506"/>
    <w:rsid w:val="00A54D8F"/>
    <w:rsid w:val="00A92A87"/>
    <w:rsid w:val="00A93E39"/>
    <w:rsid w:val="00AA40B4"/>
    <w:rsid w:val="00AC6F95"/>
    <w:rsid w:val="00AE2973"/>
    <w:rsid w:val="00AE3380"/>
    <w:rsid w:val="00AE442F"/>
    <w:rsid w:val="00B06347"/>
    <w:rsid w:val="00B1127F"/>
    <w:rsid w:val="00B14014"/>
    <w:rsid w:val="00B36026"/>
    <w:rsid w:val="00B4098C"/>
    <w:rsid w:val="00B4256A"/>
    <w:rsid w:val="00B7478A"/>
    <w:rsid w:val="00BB14D6"/>
    <w:rsid w:val="00BC64DF"/>
    <w:rsid w:val="00C161B8"/>
    <w:rsid w:val="00C30438"/>
    <w:rsid w:val="00C30AD2"/>
    <w:rsid w:val="00C42870"/>
    <w:rsid w:val="00C46D3D"/>
    <w:rsid w:val="00C4772D"/>
    <w:rsid w:val="00C70562"/>
    <w:rsid w:val="00CF2603"/>
    <w:rsid w:val="00CF269C"/>
    <w:rsid w:val="00D3169B"/>
    <w:rsid w:val="00D43DE9"/>
    <w:rsid w:val="00D50DC0"/>
    <w:rsid w:val="00D575BC"/>
    <w:rsid w:val="00D65744"/>
    <w:rsid w:val="00D7072B"/>
    <w:rsid w:val="00D70D15"/>
    <w:rsid w:val="00DB59E9"/>
    <w:rsid w:val="00DE196A"/>
    <w:rsid w:val="00E2641D"/>
    <w:rsid w:val="00E27F41"/>
    <w:rsid w:val="00E73347"/>
    <w:rsid w:val="00E80970"/>
    <w:rsid w:val="00E820BD"/>
    <w:rsid w:val="00E84D4D"/>
    <w:rsid w:val="00E962F8"/>
    <w:rsid w:val="00E96411"/>
    <w:rsid w:val="00EB3A63"/>
    <w:rsid w:val="00EC60FF"/>
    <w:rsid w:val="00F11FC2"/>
    <w:rsid w:val="00F61A3D"/>
    <w:rsid w:val="00F775D9"/>
    <w:rsid w:val="00F80650"/>
    <w:rsid w:val="00F82A9F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F6B23"/>
  <w15:docId w15:val="{26B84260-4DA8-48BB-BF64-68268053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11"/>
    <w:pPr>
      <w:spacing w:after="200" w:line="276" w:lineRule="auto"/>
    </w:pPr>
    <w:rPr>
      <w:lang w:val="en-US" w:eastAsia="en-US"/>
    </w:rPr>
  </w:style>
  <w:style w:type="paragraph" w:styleId="Heading1">
    <w:name w:val="heading 1"/>
    <w:aliases w:val="titre 1,Heading 11"/>
    <w:basedOn w:val="Normal"/>
    <w:next w:val="Normal"/>
    <w:link w:val="Heading1Char"/>
    <w:uiPriority w:val="99"/>
    <w:qFormat/>
    <w:locked/>
    <w:rsid w:val="00CF2603"/>
    <w:pPr>
      <w:keepNext/>
      <w:numPr>
        <w:numId w:val="6"/>
      </w:numPr>
      <w:spacing w:before="240" w:after="240" w:line="240" w:lineRule="auto"/>
      <w:jc w:val="both"/>
      <w:outlineLvl w:val="0"/>
    </w:pPr>
    <w:rPr>
      <w:rFonts w:ascii="Arial" w:hAnsi="Arial"/>
      <w:b/>
      <w:sz w:val="24"/>
      <w:szCs w:val="20"/>
      <w:lang w:val="lv-LV" w:eastAsia="lv-LV"/>
    </w:rPr>
  </w:style>
  <w:style w:type="paragraph" w:styleId="Heading2">
    <w:name w:val="heading 2"/>
    <w:aliases w:val="titre 2,Heading 21"/>
    <w:basedOn w:val="Normal"/>
    <w:next w:val="Normal"/>
    <w:link w:val="Heading2Char"/>
    <w:uiPriority w:val="99"/>
    <w:qFormat/>
    <w:locked/>
    <w:rsid w:val="00CF2603"/>
    <w:pPr>
      <w:keepNext/>
      <w:numPr>
        <w:ilvl w:val="1"/>
        <w:numId w:val="6"/>
      </w:numPr>
      <w:spacing w:before="240" w:after="60" w:line="240" w:lineRule="auto"/>
      <w:jc w:val="both"/>
      <w:outlineLvl w:val="1"/>
    </w:pPr>
    <w:rPr>
      <w:rFonts w:ascii="Arial" w:hAnsi="Arial"/>
      <w:b/>
      <w:i/>
      <w:szCs w:val="20"/>
      <w:lang w:eastAsia="lv-LV"/>
    </w:rPr>
  </w:style>
  <w:style w:type="paragraph" w:styleId="Heading3">
    <w:name w:val="heading 3"/>
    <w:aliases w:val="titre 3,Heading 31,Titre 31"/>
    <w:basedOn w:val="Normal"/>
    <w:next w:val="Normal"/>
    <w:link w:val="Heading3Char"/>
    <w:uiPriority w:val="99"/>
    <w:qFormat/>
    <w:locked/>
    <w:rsid w:val="00CF2603"/>
    <w:pPr>
      <w:keepNext/>
      <w:numPr>
        <w:ilvl w:val="2"/>
        <w:numId w:val="6"/>
      </w:numPr>
      <w:tabs>
        <w:tab w:val="left" w:pos="578"/>
      </w:tabs>
      <w:spacing w:before="240" w:after="60" w:line="240" w:lineRule="auto"/>
      <w:jc w:val="both"/>
      <w:outlineLvl w:val="2"/>
    </w:pPr>
    <w:rPr>
      <w:rFonts w:ascii="Arial" w:hAnsi="Arial"/>
      <w:i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F2603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hAnsi="Arial"/>
      <w:b/>
      <w:sz w:val="24"/>
      <w:szCs w:val="20"/>
      <w:lang w:eastAsia="lv-LV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F2603"/>
    <w:pPr>
      <w:numPr>
        <w:ilvl w:val="4"/>
        <w:numId w:val="6"/>
      </w:numPr>
      <w:spacing w:before="240" w:after="60" w:line="240" w:lineRule="auto"/>
      <w:jc w:val="both"/>
      <w:outlineLvl w:val="4"/>
    </w:pPr>
    <w:rPr>
      <w:rFonts w:ascii="Arial" w:hAnsi="Arial"/>
      <w:szCs w:val="20"/>
      <w:lang w:eastAsia="lv-LV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F2603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hAnsi="Times New Roman"/>
      <w:i/>
      <w:szCs w:val="20"/>
      <w:lang w:eastAsia="lv-LV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F2603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  <w:lang w:eastAsia="lv-LV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CF2603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CF2603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1 Char,Heading 11 Char"/>
    <w:basedOn w:val="DefaultParagraphFont"/>
    <w:link w:val="Heading1"/>
    <w:uiPriority w:val="9"/>
    <w:rsid w:val="00E46F1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titre 2 Char,Heading 21 Char"/>
    <w:basedOn w:val="DefaultParagraphFont"/>
    <w:link w:val="Heading2"/>
    <w:uiPriority w:val="9"/>
    <w:semiHidden/>
    <w:rsid w:val="00E46F1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aliases w:val="titre 3 Char,Heading 31 Char,Titre 31 Char"/>
    <w:basedOn w:val="DefaultParagraphFont"/>
    <w:link w:val="Heading3"/>
    <w:uiPriority w:val="9"/>
    <w:semiHidden/>
    <w:rsid w:val="00E46F11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F11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F11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F11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F11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F11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F11"/>
    <w:rPr>
      <w:rFonts w:asciiTheme="majorHAnsi" w:eastAsiaTheme="majorEastAsia" w:hAnsiTheme="majorHAnsi" w:cstheme="majorBidi"/>
      <w:lang w:val="en-US" w:eastAsia="en-US"/>
    </w:rPr>
  </w:style>
  <w:style w:type="paragraph" w:customStyle="1" w:styleId="naislab">
    <w:name w:val="naislab"/>
    <w:basedOn w:val="Normal"/>
    <w:uiPriority w:val="99"/>
    <w:rsid w:val="00E96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E96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6411"/>
    <w:rPr>
      <w:rFonts w:ascii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rsid w:val="00E964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964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6411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E96411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E96411"/>
    <w:pPr>
      <w:ind w:left="720"/>
      <w:contextualSpacing/>
    </w:pPr>
    <w:rPr>
      <w:sz w:val="20"/>
      <w:szCs w:val="20"/>
      <w:lang w:val="lv-LV"/>
    </w:rPr>
  </w:style>
  <w:style w:type="table" w:styleId="TableGrid">
    <w:name w:val="Table Grid"/>
    <w:basedOn w:val="TableNormal"/>
    <w:uiPriority w:val="99"/>
    <w:rsid w:val="000B78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36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13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1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136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136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rsid w:val="00007525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99"/>
    <w:locked/>
    <w:rsid w:val="00007525"/>
    <w:rPr>
      <w:rFonts w:ascii="Calibri" w:eastAsia="Times New Roman" w:hAnsi="Calibri"/>
    </w:rPr>
  </w:style>
  <w:style w:type="paragraph" w:customStyle="1" w:styleId="Style1">
    <w:name w:val="Style1"/>
    <w:basedOn w:val="Heading1"/>
    <w:uiPriority w:val="99"/>
    <w:rsid w:val="00CF2603"/>
    <w:rPr>
      <w:rFonts w:ascii="Calibri" w:hAnsi="Calibri"/>
    </w:rPr>
  </w:style>
  <w:style w:type="character" w:customStyle="1" w:styleId="jlqj4bchmk0b">
    <w:name w:val="jlqj4b chmk0b"/>
    <w:basedOn w:val="DefaultParagraphFont"/>
    <w:uiPriority w:val="99"/>
    <w:rsid w:val="00CF2603"/>
    <w:rPr>
      <w:rFonts w:cs="Times New Roman"/>
    </w:rPr>
  </w:style>
  <w:style w:type="character" w:customStyle="1" w:styleId="jlqj4bchmk0bc1n51c">
    <w:name w:val="jlqj4b chmk0b c1n51c"/>
    <w:basedOn w:val="DefaultParagraphFont"/>
    <w:uiPriority w:val="99"/>
    <w:rsid w:val="00CF2603"/>
    <w:rPr>
      <w:rFonts w:cs="Times New Roman"/>
    </w:rPr>
  </w:style>
  <w:style w:type="character" w:customStyle="1" w:styleId="viiyi">
    <w:name w:val="viiyi"/>
    <w:basedOn w:val="DefaultParagraphFont"/>
    <w:uiPriority w:val="99"/>
    <w:rsid w:val="00CF2603"/>
    <w:rPr>
      <w:rFonts w:cs="Times New Roman"/>
    </w:rPr>
  </w:style>
  <w:style w:type="character" w:customStyle="1" w:styleId="jlqj4b">
    <w:name w:val="jlqj4b"/>
    <w:basedOn w:val="DefaultParagraphFont"/>
    <w:uiPriority w:val="99"/>
    <w:rsid w:val="00CF26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c@pkc.mk.gov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va.pugule@spkc.gov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4063</Words>
  <Characters>2316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>MK noteikumu pielikums</dc:subject>
  <dc:creator>Zane Legzdiņa-Joja</dc:creator>
  <cp:keywords/>
  <dc:description>zane.legzdina@mk.gov.lv, 67082904</dc:description>
  <cp:lastModifiedBy>Ieva Pūgule</cp:lastModifiedBy>
  <cp:revision>5</cp:revision>
  <cp:lastPrinted>2012-12-21T13:53:00Z</cp:lastPrinted>
  <dcterms:created xsi:type="dcterms:W3CDTF">2023-06-20T09:07:00Z</dcterms:created>
  <dcterms:modified xsi:type="dcterms:W3CDTF">2023-06-20T09:18:00Z</dcterms:modified>
</cp:coreProperties>
</file>