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FC90" w14:textId="005B0C81" w:rsidR="007C18DC" w:rsidRDefault="007C18DC" w:rsidP="00511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1148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Anotācija pētījumam</w:t>
      </w:r>
      <w:r w:rsidRPr="005114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tbl>
      <w:tblPr>
        <w:tblW w:w="5418" w:type="pct"/>
        <w:tblCellSpacing w:w="15" w:type="dxa"/>
        <w:tblInd w:w="-69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"/>
        <w:gridCol w:w="186"/>
        <w:gridCol w:w="446"/>
        <w:gridCol w:w="1889"/>
        <w:gridCol w:w="535"/>
        <w:gridCol w:w="1180"/>
        <w:gridCol w:w="729"/>
        <w:gridCol w:w="3014"/>
        <w:gridCol w:w="281"/>
        <w:gridCol w:w="678"/>
      </w:tblGrid>
      <w:tr w:rsidR="007C18DC" w:rsidRPr="00697CF4" w14:paraId="608BD6FF" w14:textId="77777777" w:rsidTr="007C18DC">
        <w:trPr>
          <w:gridAfter w:val="1"/>
          <w:wAfter w:w="361" w:type="pct"/>
          <w:tblCellSpacing w:w="15" w:type="dxa"/>
        </w:trPr>
        <w:tc>
          <w:tcPr>
            <w:tcW w:w="4589" w:type="pct"/>
            <w:gridSpan w:val="9"/>
            <w:tcBorders>
              <w:bottom w:val="single" w:sz="6" w:space="0" w:color="auto"/>
            </w:tcBorders>
          </w:tcPr>
          <w:p w14:paraId="09F6EA6C" w14:textId="77777777" w:rsidR="007C18DC" w:rsidRPr="00697CF4" w:rsidRDefault="007C18DC" w:rsidP="007C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97CF4">
              <w:rPr>
                <w:rFonts w:ascii="Times New Roman" w:hAnsi="Times New Roman" w:cs="Times New Roman"/>
                <w:bCs/>
                <w:sz w:val="24"/>
                <w:szCs w:val="24"/>
              </w:rPr>
              <w:t>Cilvēkkapitāla</w:t>
            </w:r>
            <w:proofErr w:type="spellEnd"/>
            <w:r w:rsidRPr="00697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attīstības politikas efektivitātes un progresa novērtēšana Latvijā</w:t>
            </w:r>
          </w:p>
        </w:tc>
      </w:tr>
      <w:tr w:rsidR="007C18DC" w:rsidRPr="0051148B" w14:paraId="48F9CBC8" w14:textId="77777777" w:rsidTr="007C18DC">
        <w:trPr>
          <w:gridAfter w:val="1"/>
          <w:wAfter w:w="361" w:type="pct"/>
          <w:tblCellSpacing w:w="15" w:type="dxa"/>
        </w:trPr>
        <w:tc>
          <w:tcPr>
            <w:tcW w:w="4589" w:type="pct"/>
            <w:gridSpan w:val="9"/>
            <w:hideMark/>
          </w:tcPr>
          <w:p w14:paraId="6FC3E374" w14:textId="77777777" w:rsidR="007C18DC" w:rsidRPr="007C18DC" w:rsidRDefault="007C18DC" w:rsidP="007121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7C18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(pētījuma nosaukums)</w:t>
            </w:r>
          </w:p>
        </w:tc>
      </w:tr>
      <w:tr w:rsidR="0051148B" w:rsidRPr="0051148B" w14:paraId="3A596FB1" w14:textId="77777777" w:rsidTr="007C18DC">
        <w:trPr>
          <w:gridBefore w:val="1"/>
          <w:gridAfter w:val="3"/>
          <w:wBefore w:w="10" w:type="pct"/>
          <w:wAfter w:w="2176" w:type="pct"/>
          <w:tblCellSpacing w:w="15" w:type="dxa"/>
        </w:trPr>
        <w:tc>
          <w:tcPr>
            <w:tcW w:w="1388" w:type="pct"/>
            <w:gridSpan w:val="3"/>
            <w:hideMark/>
          </w:tcPr>
          <w:p w14:paraId="0A301D7B" w14:textId="320B8E33" w:rsidR="0051148B" w:rsidRPr="0051148B" w:rsidRDefault="0051148B" w:rsidP="007C1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43" w:type="pct"/>
            <w:gridSpan w:val="3"/>
          </w:tcPr>
          <w:p w14:paraId="72E79C05" w14:textId="5710A5C9" w:rsidR="0051148B" w:rsidRPr="0051148B" w:rsidRDefault="0051148B" w:rsidP="00511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1148B" w:rsidRPr="0051148B" w14:paraId="6C91BF07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489" w:type="pct"/>
          <w:tblCellSpacing w:w="15" w:type="dxa"/>
        </w:trPr>
        <w:tc>
          <w:tcPr>
            <w:tcW w:w="168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AD632" w14:textId="28A18229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Pētījuma mērķis, uzdevumi un galvenie rezultāti latviešu valodā</w:t>
            </w: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7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13C20" w14:textId="55D92825" w:rsidR="0051148B" w:rsidRPr="00697CF4" w:rsidRDefault="00AD5244" w:rsidP="007C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Mērķis:</w:t>
            </w:r>
            <w:r w:rsidRP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zstrādāt monitoringa sistēmu </w:t>
            </w:r>
            <w:proofErr w:type="spellStart"/>
            <w:r w:rsidRP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cilvēkkapitāla</w:t>
            </w:r>
            <w:proofErr w:type="spellEnd"/>
            <w:r w:rsidRP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attīstības politikas efektivitātes un progresa novērtēšanai Latvijā, lai sekmētu ekonomikas transformāciju uz augstākas pievienotās vērtības radīšanu, atbildot uz situācijas izmaiņām, izaicinājumiem un iespējām starptautiskajos tirgos un nodrošinot eksporta potenciāla kāpināšanu.</w:t>
            </w:r>
          </w:p>
          <w:p w14:paraId="20AB7EE2" w14:textId="77777777" w:rsidR="00AD5244" w:rsidRPr="00697CF4" w:rsidRDefault="00AD5244" w:rsidP="007C1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7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Uzdevumi</w:t>
            </w:r>
            <w:r w:rsidRP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</w:t>
            </w:r>
          </w:p>
          <w:p w14:paraId="5BDDC1D1" w14:textId="77777777" w:rsidR="00AD5244" w:rsidRPr="007C18DC" w:rsidRDefault="00AD5244" w:rsidP="007C18DC">
            <w:pPr>
              <w:pStyle w:val="ListParagraph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C">
              <w:rPr>
                <w:rFonts w:ascii="Times New Roman" w:hAnsi="Times New Roman" w:cs="Times New Roman"/>
                <w:sz w:val="24"/>
                <w:szCs w:val="24"/>
              </w:rPr>
              <w:t xml:space="preserve">Veikt </w:t>
            </w:r>
            <w:proofErr w:type="spellStart"/>
            <w:r w:rsidRPr="007C18DC">
              <w:rPr>
                <w:rFonts w:ascii="Times New Roman" w:hAnsi="Times New Roman" w:cs="Times New Roman"/>
                <w:sz w:val="24"/>
                <w:szCs w:val="24"/>
              </w:rPr>
              <w:t>cilvēkkapitāla</w:t>
            </w:r>
            <w:proofErr w:type="spellEnd"/>
            <w:r w:rsidRPr="007C18DC">
              <w:rPr>
                <w:rFonts w:ascii="Times New Roman" w:hAnsi="Times New Roman" w:cs="Times New Roman"/>
                <w:sz w:val="24"/>
                <w:szCs w:val="24"/>
              </w:rPr>
              <w:t xml:space="preserve"> attīstības teorētisko aspektu analīzi</w:t>
            </w:r>
          </w:p>
          <w:p w14:paraId="08758423" w14:textId="77777777" w:rsidR="00AD5244" w:rsidRPr="007C18DC" w:rsidRDefault="00AD5244" w:rsidP="007C18DC">
            <w:pPr>
              <w:pStyle w:val="ListParagraph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C">
              <w:rPr>
                <w:rFonts w:ascii="Times New Roman" w:hAnsi="Times New Roman" w:cs="Times New Roman"/>
                <w:sz w:val="24"/>
                <w:szCs w:val="24"/>
              </w:rPr>
              <w:t xml:space="preserve">Izstrādāt </w:t>
            </w:r>
            <w:proofErr w:type="spellStart"/>
            <w:r w:rsidRPr="007C18DC">
              <w:rPr>
                <w:rFonts w:ascii="Times New Roman" w:hAnsi="Times New Roman" w:cs="Times New Roman"/>
                <w:sz w:val="24"/>
                <w:szCs w:val="24"/>
              </w:rPr>
              <w:t>cilvēkkapitāla</w:t>
            </w:r>
            <w:proofErr w:type="spellEnd"/>
            <w:r w:rsidRPr="007C18DC">
              <w:rPr>
                <w:rFonts w:ascii="Times New Roman" w:hAnsi="Times New Roman" w:cs="Times New Roman"/>
                <w:sz w:val="24"/>
                <w:szCs w:val="24"/>
              </w:rPr>
              <w:t xml:space="preserve"> attīstības politikas progresa monitoringa sistēmu, identificēt datu avotus un to pieejamību</w:t>
            </w:r>
          </w:p>
          <w:p w14:paraId="0BA8FA45" w14:textId="77777777" w:rsidR="00AD5244" w:rsidRPr="007C18DC" w:rsidRDefault="00AD5244" w:rsidP="007C18DC">
            <w:pPr>
              <w:pStyle w:val="ListParagraph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C">
              <w:rPr>
                <w:rFonts w:ascii="Times New Roman" w:hAnsi="Times New Roman" w:cs="Times New Roman"/>
                <w:sz w:val="24"/>
                <w:szCs w:val="24"/>
              </w:rPr>
              <w:t>Veikt stratēģijā izvirzīto mērķa rādītāju analīzi, sniegt priekšlikumus rādītāju sistēmas uzlabošanai</w:t>
            </w:r>
          </w:p>
          <w:p w14:paraId="1E630F76" w14:textId="77777777" w:rsidR="00AD5244" w:rsidRPr="007C18DC" w:rsidRDefault="00AD5244" w:rsidP="007C18DC">
            <w:pPr>
              <w:pStyle w:val="ListParagraph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C">
              <w:rPr>
                <w:rFonts w:ascii="Times New Roman" w:hAnsi="Times New Roman" w:cs="Times New Roman"/>
                <w:sz w:val="24"/>
                <w:szCs w:val="24"/>
              </w:rPr>
              <w:t>Izstrādāt mērījumu ietvaru stratēģijas galveno rīcības virzienu pasākumu efektivitātes, ietekmes progresa novērtējumam</w:t>
            </w:r>
          </w:p>
          <w:p w14:paraId="3D8AFB3A" w14:textId="77777777" w:rsidR="00AD5244" w:rsidRPr="007C18DC" w:rsidRDefault="00AD5244" w:rsidP="007C18DC">
            <w:pPr>
              <w:pStyle w:val="ListParagraph"/>
              <w:numPr>
                <w:ilvl w:val="0"/>
                <w:numId w:val="1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C">
              <w:rPr>
                <w:rFonts w:ascii="Times New Roman" w:hAnsi="Times New Roman" w:cs="Times New Roman"/>
                <w:sz w:val="24"/>
                <w:szCs w:val="24"/>
              </w:rPr>
              <w:t xml:space="preserve">Sniegt priekšlikumus, ieteikumus </w:t>
            </w:r>
            <w:proofErr w:type="spellStart"/>
            <w:r w:rsidRPr="007C18DC">
              <w:rPr>
                <w:rFonts w:ascii="Times New Roman" w:hAnsi="Times New Roman" w:cs="Times New Roman"/>
                <w:sz w:val="24"/>
                <w:szCs w:val="24"/>
              </w:rPr>
              <w:t>rīcībpolitikai</w:t>
            </w:r>
            <w:proofErr w:type="spellEnd"/>
          </w:p>
          <w:p w14:paraId="43B7C62C" w14:textId="0DF7D3F6" w:rsidR="004A6E0A" w:rsidRPr="007C18DC" w:rsidRDefault="00AD5244" w:rsidP="007C18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Galvenie rezultāti: </w:t>
            </w:r>
            <w:r w:rsidR="00F932DE" w:rsidRPr="00697CF4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Start"/>
            <w:r w:rsidR="00F932DE" w:rsidRPr="00697CF4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ilvēkkapitāla</w:t>
            </w:r>
            <w:proofErr w:type="spellEnd"/>
            <w:r w:rsidR="00F932DE" w:rsidRPr="00697CF4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 xml:space="preserve"> attīstības </w:t>
            </w:r>
            <w:r w:rsidR="00F932DE" w:rsidRPr="007C18DC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politikas efektivitātes un progresa monitoringam Latvijā</w:t>
            </w:r>
            <w:r w:rsidR="00F932DE" w:rsidRPr="007C18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tiek piedāvāts </w:t>
            </w:r>
            <w:r w:rsidR="00F932DE" w:rsidRPr="007C18DC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trīs pakāpju uzraudzības un mērījumu ietvars</w:t>
            </w:r>
            <w:r w:rsidR="00F932DE" w:rsidRPr="007C18DC">
              <w:rPr>
                <w:rFonts w:ascii="Times New Roman" w:hAnsi="Times New Roman" w:cs="Times New Roman"/>
                <w:bCs/>
                <w:sz w:val="24"/>
                <w:szCs w:val="24"/>
              </w:rPr>
              <w:t>, kuru būtu jāveic reizi gadā, un kura galvenie elementi ir</w:t>
            </w:r>
            <w:r w:rsidR="007C18D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C3A552E" w14:textId="26B2DC0B" w:rsidR="004A6E0A" w:rsidRPr="007C18DC" w:rsidRDefault="00F932DE" w:rsidP="007C18DC">
            <w:pPr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C">
              <w:rPr>
                <w:rFonts w:ascii="Times New Roman" w:hAnsi="Times New Roman" w:cs="Times New Roman"/>
                <w:sz w:val="24"/>
                <w:szCs w:val="24"/>
              </w:rPr>
              <w:t>kvantitatīvais novērtējums, balstīts uz datiem (rādītāju kopumu) un Stratēģijā definētajiem rezultatīvajiem rādītājiem</w:t>
            </w:r>
            <w:r w:rsidR="00AD5244" w:rsidRPr="007C18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E2C5B0" w14:textId="33884407" w:rsidR="004A6E0A" w:rsidRPr="007C18DC" w:rsidRDefault="00F932DE" w:rsidP="007C18DC">
            <w:pPr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DC">
              <w:rPr>
                <w:rFonts w:ascii="Times New Roman" w:hAnsi="Times New Roman" w:cs="Times New Roman"/>
                <w:sz w:val="24"/>
                <w:szCs w:val="24"/>
              </w:rPr>
              <w:t>kvalitatīvais novērtējums, kā pamatā ir Stratēģijā definēto rezultatīvo rādītāju un citos dokumentos un starptautiskajos pētījumos atspoguļoto kvantitatīvo rādītāju analīze, veiktie tematiskie pētījumi un papildus aptaujas rezultātu apkopojums</w:t>
            </w:r>
            <w:r w:rsidR="007C18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67FE40" w14:textId="778B3BF6" w:rsidR="00AD5244" w:rsidRPr="00697CF4" w:rsidRDefault="00F932DE" w:rsidP="007C18DC">
            <w:pPr>
              <w:numPr>
                <w:ilvl w:val="0"/>
                <w:numId w:val="2"/>
              </w:num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DC">
              <w:rPr>
                <w:rFonts w:ascii="Times New Roman" w:hAnsi="Times New Roman" w:cs="Times New Roman"/>
                <w:sz w:val="24"/>
                <w:szCs w:val="24"/>
              </w:rPr>
              <w:t>no augstāk minētās analīzes izrietoši secinājumi un rekomendācijas</w:t>
            </w:r>
            <w:r w:rsidR="007C1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48B" w:rsidRPr="0051148B" w14:paraId="13E7464F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A7165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Galvenās pētījuma tēmas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D1105" w14:textId="77777777" w:rsidR="0051148B" w:rsidRPr="00697CF4" w:rsidRDefault="00F932DE" w:rsidP="007C18DC">
            <w:pPr>
              <w:pStyle w:val="ListParagraph"/>
              <w:numPr>
                <w:ilvl w:val="0"/>
                <w:numId w:val="3"/>
              </w:num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Cilvēkkapitāla</w:t>
            </w:r>
            <w:proofErr w:type="spellEnd"/>
            <w:r w:rsidRP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attīstības politikas </w:t>
            </w:r>
            <w:r w:rsidRPr="00697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efektivitātes un progresa </w:t>
            </w:r>
            <w:proofErr w:type="spellStart"/>
            <w:r w:rsidRPr="00697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monitoriga</w:t>
            </w:r>
            <w:proofErr w:type="spellEnd"/>
            <w:r w:rsidRPr="00697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metodika. </w:t>
            </w:r>
          </w:p>
          <w:p w14:paraId="57442544" w14:textId="77777777" w:rsidR="00F932DE" w:rsidRPr="00697CF4" w:rsidRDefault="00F932DE" w:rsidP="007C18DC">
            <w:pPr>
              <w:pStyle w:val="ListParagraph"/>
              <w:numPr>
                <w:ilvl w:val="0"/>
                <w:numId w:val="3"/>
              </w:num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7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Datu avoti un to pieejamība.</w:t>
            </w:r>
          </w:p>
          <w:p w14:paraId="5EBD0149" w14:textId="1B999DC2" w:rsidR="00F932DE" w:rsidRPr="00F932DE" w:rsidRDefault="00F932DE" w:rsidP="007C18DC">
            <w:pPr>
              <w:pStyle w:val="ListParagraph"/>
              <w:numPr>
                <w:ilvl w:val="0"/>
                <w:numId w:val="3"/>
              </w:numPr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proofErr w:type="spellStart"/>
            <w:r w:rsidRP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cilvēkkapitata</w:t>
            </w:r>
            <w:proofErr w:type="spellEnd"/>
            <w:r w:rsidRP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attīstības monitoringa rādītāji</w:t>
            </w:r>
          </w:p>
        </w:tc>
      </w:tr>
      <w:tr w:rsidR="0051148B" w:rsidRPr="0051148B" w14:paraId="63624423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0F0AF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Pētījuma pasūtītājs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E34F4" w14:textId="7DD683C3" w:rsidR="0051148B" w:rsidRPr="0051148B" w:rsidRDefault="00F932DE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</w:tr>
      <w:tr w:rsidR="0051148B" w:rsidRPr="0051148B" w14:paraId="40A6A005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CE834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Pētījuma īstenotājs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4E589" w14:textId="67AE51AA" w:rsidR="0051148B" w:rsidRPr="0051148B" w:rsidRDefault="00697CF4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685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Latvijas Universitātes </w:t>
            </w:r>
            <w:r w:rsidRPr="009D685C">
              <w:rPr>
                <w:rFonts w:ascii="Times New Roman" w:hAnsi="Times New Roman" w:cs="Times New Roman"/>
                <w:sz w:val="24"/>
                <w:szCs w:val="24"/>
              </w:rPr>
              <w:t xml:space="preserve">Ekonomikas </w:t>
            </w:r>
            <w:r w:rsidR="000A2E15">
              <w:rPr>
                <w:rFonts w:ascii="Times New Roman" w:hAnsi="Times New Roman" w:cs="Times New Roman"/>
                <w:sz w:val="24"/>
                <w:szCs w:val="24"/>
              </w:rPr>
              <w:t xml:space="preserve">un sociālo zinātņu </w:t>
            </w:r>
            <w:r w:rsidRPr="009D685C">
              <w:rPr>
                <w:rFonts w:ascii="Times New Roman" w:hAnsi="Times New Roman" w:cs="Times New Roman"/>
                <w:sz w:val="24"/>
                <w:szCs w:val="24"/>
              </w:rPr>
              <w:t xml:space="preserve">fakultātes Produktivitātes zinātniskais institūta “Latvijas Universitātes </w:t>
            </w:r>
            <w:proofErr w:type="spellStart"/>
            <w:r w:rsidRPr="009D685C">
              <w:rPr>
                <w:rFonts w:ascii="Times New Roman" w:hAnsi="Times New Roman" w:cs="Times New Roman"/>
                <w:sz w:val="24"/>
                <w:szCs w:val="24"/>
              </w:rPr>
              <w:t>domnīca</w:t>
            </w:r>
            <w:proofErr w:type="spellEnd"/>
            <w:r w:rsidRPr="009D685C">
              <w:rPr>
                <w:rFonts w:ascii="Times New Roman" w:hAnsi="Times New Roman" w:cs="Times New Roman"/>
                <w:sz w:val="24"/>
                <w:szCs w:val="24"/>
              </w:rPr>
              <w:t xml:space="preserve"> LV PEAK”</w:t>
            </w:r>
          </w:p>
        </w:tc>
      </w:tr>
      <w:tr w:rsidR="0051148B" w:rsidRPr="0051148B" w14:paraId="0D74E0BA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5C558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Pētījuma īstenošanas gads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09F88" w14:textId="29891F34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932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</w:t>
            </w:r>
          </w:p>
        </w:tc>
      </w:tr>
      <w:tr w:rsidR="0051148B" w:rsidRPr="0051148B" w14:paraId="6E90FAF0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DFB83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Pētījuma finansēšanas summa un finansēšanas avots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6B66A" w14:textId="4706ED55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697CF4"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697CF4" w:rsidRPr="00F55FB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Kopējā līgumcena par pētījumu izstrādi ir </w:t>
            </w:r>
            <w:bookmarkStart w:id="0" w:name="_GoBack"/>
            <w:r w:rsidR="00697CF4" w:rsidRPr="00F55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41 322,31 </w:t>
            </w:r>
            <w:bookmarkEnd w:id="0"/>
            <w:r w:rsidR="00697CF4" w:rsidRPr="00F55F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EUR </w:t>
            </w:r>
            <w:r w:rsidR="00697CF4" w:rsidRPr="00F55FB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un pievienotās vērtības nodoklis 21% - </w:t>
            </w:r>
            <w:r w:rsidR="00697CF4" w:rsidRPr="00F55FB4">
              <w:rPr>
                <w:rFonts w:ascii="Times New Roman" w:hAnsi="Times New Roman" w:cs="Times New Roman"/>
                <w:sz w:val="24"/>
                <w:szCs w:val="24"/>
              </w:rPr>
              <w:t>8 677,68</w:t>
            </w:r>
            <w:r w:rsidR="00697CF4" w:rsidRPr="00F55FB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97CF4" w:rsidRPr="00F55FB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EUR</w:t>
            </w:r>
            <w:r w:rsidR="00697CF4" w:rsidRPr="00F55FB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, kopā ar pievienotās vērtības nodokli – </w:t>
            </w:r>
            <w:r w:rsidR="00697CF4" w:rsidRPr="00F55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49 999, 99 </w:t>
            </w:r>
            <w:r w:rsidR="00697CF4" w:rsidRPr="00F55FB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EUR</w:t>
            </w:r>
          </w:p>
        </w:tc>
      </w:tr>
      <w:tr w:rsidR="0051148B" w:rsidRPr="0051148B" w14:paraId="442E0332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7C1E6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Pētījuma klasifikācija*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66003" w14:textId="6956E9A1" w:rsidR="0051148B" w:rsidRPr="00697CF4" w:rsidRDefault="00697CF4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K</w:t>
            </w:r>
            <w:r w:rsidRPr="00697CF4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ompleksi analītisks pētījum</w:t>
            </w:r>
            <w:r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s</w:t>
            </w:r>
          </w:p>
        </w:tc>
      </w:tr>
      <w:tr w:rsidR="0051148B" w:rsidRPr="0051148B" w14:paraId="414D8B4F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D602B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Pētījuma ģeogrāfiskais aptvērums</w:t>
            </w: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(visa Latvija vai noteikts reģions/novads)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F24A5" w14:textId="43E7C3F4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932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Visa Latvija</w:t>
            </w:r>
          </w:p>
        </w:tc>
      </w:tr>
      <w:tr w:rsidR="0051148B" w:rsidRPr="0051148B" w14:paraId="0C56B575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62679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Pētījuma mērķa grupa/-</w:t>
            </w:r>
            <w:proofErr w:type="spellStart"/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as</w:t>
            </w:r>
            <w:proofErr w:type="spellEnd"/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(piemēram, Latvijas iedzīvotāji darbspējas vecumā)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EC274" w14:textId="0E2D8FDC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proofErr w:type="spellStart"/>
            <w:r w:rsidR="00697C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cilvēkkapitāls</w:t>
            </w:r>
            <w:proofErr w:type="spellEnd"/>
          </w:p>
        </w:tc>
      </w:tr>
      <w:tr w:rsidR="0051148B" w:rsidRPr="0051148B" w14:paraId="7CD5B03B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C10C2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Pētījumā izmantotās metodes atbilstoši informācijas ieguves veidam: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BD8B7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2C16580E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2CD6B9C7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4A1C1F6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 tiesību aktu vai politikas plānošanas dokumentu analīze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ADCD4" w14:textId="6E250928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932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</w:tr>
      <w:tr w:rsidR="0051148B" w:rsidRPr="0051148B" w14:paraId="7382442E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03CDCE9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F3CFF4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 statistikas datu analīze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DA07A" w14:textId="1DDD38A6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932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</w:tr>
      <w:tr w:rsidR="0051148B" w:rsidRPr="0051148B" w14:paraId="2927F207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677E8D13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F6EF2F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3) esošo pētījumu datu sekundārā analīze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2E3C0" w14:textId="4AD2E82F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F932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</w:tr>
      <w:tr w:rsidR="0051148B" w:rsidRPr="0051148B" w14:paraId="7EEDD4C6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7CAFA3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66AE9CA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4) padziļināto/ekspertu interviju veikšana un analīze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7C1AC" w14:textId="38B531FC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0C6600D9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0508A259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48F1E5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5) fokusa grupu diskusiju veikšana un analīze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4B590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7CD1947F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03B4CC3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DFCBD11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6) gadījumu izpēte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E020E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3F6394E5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0F3ABBEF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B487399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7) kvantitatīvās aptaujas veikšana un datu analīze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7A222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22E8DB63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6A53E4EA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F81C90A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8) citas metodes (norādīt, kādas)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A4AEB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67728B2C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5196A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Kvantitatīvās pētījuma metodes</w:t>
            </w: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(ja attiecināms):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CD70B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1DA0FD4B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30521072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74DA9BF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 aptaujas izlases metode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5F767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0A511945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421D5AD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198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10F26DC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 aptaujāto/anketēto respondentu/vienību skaits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2BE09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66C412F8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30FCE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Kvalitatīvās pētījuma metodes</w:t>
            </w: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(ja attiecināms):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24453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337FBC96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0B18A6D0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C4308F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 padziļināto/ekspertu interviju skaits (ja attiecināms)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7C43A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6D94D57B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672A653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89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763A435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 fokusa grupu diskusiju skaits (ja attiecināms)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F47DE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2DF1ACC7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EB49E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Izmantotās analīzes grupas (griezumi)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3B849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1148B" w:rsidRPr="0051148B" w14:paraId="1BB839E9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E1A32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Pētījuma pasūtītāja kontaktinformācija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A06A6" w14:textId="02FAD1DB" w:rsidR="000A2E15" w:rsidRPr="000A2E15" w:rsidRDefault="000A2E15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A2E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Ekonomikas ministrijas </w:t>
            </w:r>
            <w:proofErr w:type="spellStart"/>
            <w:r w:rsidRPr="000A2E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Cilvēkkapitāla</w:t>
            </w:r>
            <w:proofErr w:type="spellEnd"/>
            <w:r w:rsidRPr="000A2E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attīstības departamenta vecākais eksperts Ingvars Kudeikins, tālrunis: +371 67013014, e-pasts: </w:t>
            </w:r>
          </w:p>
          <w:p w14:paraId="1FBFCA15" w14:textId="0AADEE5E" w:rsidR="0051148B" w:rsidRPr="0051148B" w:rsidRDefault="000A2E15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A2E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Ingvars.Kudeikins@em.gov.lv</w:t>
            </w:r>
          </w:p>
        </w:tc>
      </w:tr>
      <w:tr w:rsidR="0051148B" w:rsidRPr="0051148B" w14:paraId="156F77E3" w14:textId="77777777" w:rsidTr="007C18D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2"/>
          <w:wBefore w:w="99" w:type="pct"/>
          <w:trHeight w:val="312"/>
          <w:tblCellSpacing w:w="15" w:type="dxa"/>
        </w:trPr>
        <w:tc>
          <w:tcPr>
            <w:tcW w:w="224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24E8E" w14:textId="77777777" w:rsidR="0051148B" w:rsidRPr="0051148B" w:rsidRDefault="0051148B" w:rsidP="007C1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11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Pētījuma autori** (autortiesību subjekti)</w:t>
            </w:r>
          </w:p>
        </w:tc>
        <w:tc>
          <w:tcPr>
            <w:tcW w:w="25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BBCD5" w14:textId="54DCE31E" w:rsidR="000A6AD5" w:rsidRDefault="006220FA" w:rsidP="007C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vadītāja prof. Inna Š</w:t>
            </w:r>
            <w:r w:rsidR="000A6AD5">
              <w:rPr>
                <w:rFonts w:ascii="Times New Roman" w:hAnsi="Times New Roman" w:cs="Times New Roman"/>
                <w:sz w:val="24"/>
                <w:szCs w:val="24"/>
              </w:rPr>
              <w:t>teinbuka;</w:t>
            </w:r>
          </w:p>
          <w:p w14:paraId="06EDEDFE" w14:textId="2E4639DA" w:rsidR="000A6AD5" w:rsidRDefault="006220FA" w:rsidP="007C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A6AD5">
              <w:rPr>
                <w:rFonts w:ascii="Times New Roman" w:hAnsi="Times New Roman" w:cs="Times New Roman"/>
                <w:sz w:val="24"/>
                <w:szCs w:val="24"/>
              </w:rPr>
              <w:t xml:space="preserve">adošais pētnieks prof. Jānis Priede; </w:t>
            </w:r>
          </w:p>
          <w:p w14:paraId="58DC45D2" w14:textId="17174EDD" w:rsidR="000A6AD5" w:rsidRPr="000A6AD5" w:rsidRDefault="006220FA" w:rsidP="007C1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6AD5">
              <w:rPr>
                <w:rFonts w:ascii="Times New Roman" w:hAnsi="Times New Roman" w:cs="Times New Roman"/>
                <w:sz w:val="24"/>
                <w:szCs w:val="24"/>
              </w:rPr>
              <w:t xml:space="preserve">ētniece prof. </w:t>
            </w:r>
            <w:r w:rsidR="000A6AD5" w:rsidRPr="000A6AD5">
              <w:rPr>
                <w:rFonts w:ascii="Times New Roman" w:hAnsi="Times New Roman" w:cs="Times New Roman"/>
                <w:sz w:val="24"/>
                <w:szCs w:val="24"/>
              </w:rPr>
              <w:t>Sandra Jēkabsone</w:t>
            </w:r>
            <w:r w:rsidR="000A6AD5">
              <w:rPr>
                <w:rFonts w:ascii="Times New Roman" w:hAnsi="Times New Roman" w:cs="Times New Roman"/>
                <w:sz w:val="24"/>
                <w:szCs w:val="24"/>
              </w:rPr>
              <w:t xml:space="preserve">; u.c. </w:t>
            </w:r>
            <w:r w:rsidR="000A6AD5" w:rsidRPr="009D685C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Latvijas Universitātes </w:t>
            </w:r>
            <w:r w:rsidR="000A6AD5" w:rsidRPr="009D685C">
              <w:rPr>
                <w:rFonts w:ascii="Times New Roman" w:hAnsi="Times New Roman" w:cs="Times New Roman"/>
                <w:sz w:val="24"/>
                <w:szCs w:val="24"/>
              </w:rPr>
              <w:t xml:space="preserve">Ekonomikas </w:t>
            </w:r>
            <w:r w:rsidR="000A6AD5">
              <w:rPr>
                <w:rFonts w:ascii="Times New Roman" w:hAnsi="Times New Roman" w:cs="Times New Roman"/>
                <w:sz w:val="24"/>
                <w:szCs w:val="24"/>
              </w:rPr>
              <w:t xml:space="preserve">un sociālo zinātņu </w:t>
            </w:r>
            <w:r w:rsidR="000A6AD5" w:rsidRPr="009D685C">
              <w:rPr>
                <w:rFonts w:ascii="Times New Roman" w:hAnsi="Times New Roman" w:cs="Times New Roman"/>
                <w:sz w:val="24"/>
                <w:szCs w:val="24"/>
              </w:rPr>
              <w:t xml:space="preserve">fakultātes Produktivitātes zinātniskais institūta “Latvijas Universitātes </w:t>
            </w:r>
            <w:proofErr w:type="spellStart"/>
            <w:r w:rsidR="000A6AD5" w:rsidRPr="009D685C">
              <w:rPr>
                <w:rFonts w:ascii="Times New Roman" w:hAnsi="Times New Roman" w:cs="Times New Roman"/>
                <w:sz w:val="24"/>
                <w:szCs w:val="24"/>
              </w:rPr>
              <w:t>domnīca</w:t>
            </w:r>
            <w:proofErr w:type="spellEnd"/>
            <w:r w:rsidR="000A6AD5" w:rsidRPr="009D685C">
              <w:rPr>
                <w:rFonts w:ascii="Times New Roman" w:hAnsi="Times New Roman" w:cs="Times New Roman"/>
                <w:sz w:val="24"/>
                <w:szCs w:val="24"/>
              </w:rPr>
              <w:t xml:space="preserve"> LV PEAK”</w:t>
            </w:r>
            <w:r w:rsidR="000A6AD5">
              <w:rPr>
                <w:rFonts w:ascii="Times New Roman" w:hAnsi="Times New Roman" w:cs="Times New Roman"/>
                <w:sz w:val="24"/>
                <w:szCs w:val="24"/>
              </w:rPr>
              <w:t xml:space="preserve"> pētnieki.</w:t>
            </w:r>
          </w:p>
        </w:tc>
      </w:tr>
    </w:tbl>
    <w:p w14:paraId="1A014A47" w14:textId="77777777" w:rsidR="009D6C2A" w:rsidRPr="009D6C2A" w:rsidRDefault="009D6C2A" w:rsidP="009D6C2A">
      <w:pPr>
        <w:pStyle w:val="NormalWeb"/>
        <w:rPr>
          <w:sz w:val="22"/>
          <w:szCs w:val="22"/>
        </w:rPr>
      </w:pPr>
      <w:r w:rsidRPr="009D6C2A">
        <w:rPr>
          <w:sz w:val="22"/>
          <w:szCs w:val="22"/>
        </w:rPr>
        <w:t>Piezīmes.</w:t>
      </w:r>
    </w:p>
    <w:p w14:paraId="3E8B5465" w14:textId="77777777" w:rsidR="009D6C2A" w:rsidRPr="009D6C2A" w:rsidRDefault="009D6C2A" w:rsidP="009D6C2A">
      <w:pPr>
        <w:pStyle w:val="NormalWeb"/>
        <w:rPr>
          <w:sz w:val="22"/>
          <w:szCs w:val="22"/>
        </w:rPr>
      </w:pPr>
      <w:r w:rsidRPr="009D6C2A">
        <w:rPr>
          <w:sz w:val="22"/>
          <w:szCs w:val="22"/>
        </w:rPr>
        <w:t xml:space="preserve">1. * Pētījuma klasifikācijas grupa atbilstoši Ministru kabineta 2013. gada 3. janvāra noteikumu Nr. 1 "Kārtība, kādā publiska persona </w:t>
      </w:r>
      <w:proofErr w:type="spellStart"/>
      <w:r w:rsidRPr="009D6C2A">
        <w:rPr>
          <w:sz w:val="22"/>
          <w:szCs w:val="22"/>
        </w:rPr>
        <w:t>pasūta</w:t>
      </w:r>
      <w:proofErr w:type="spellEnd"/>
      <w:r w:rsidRPr="009D6C2A">
        <w:rPr>
          <w:sz w:val="22"/>
          <w:szCs w:val="22"/>
        </w:rPr>
        <w:t xml:space="preserve"> pētījumus"</w:t>
      </w:r>
      <w:hyperlink r:id="rId8" w:anchor="n2" w:history="1">
        <w:r w:rsidRPr="009D6C2A">
          <w:rPr>
            <w:rStyle w:val="Hyperlink"/>
            <w:sz w:val="22"/>
            <w:szCs w:val="22"/>
          </w:rPr>
          <w:t xml:space="preserve"> II nodaļai</w:t>
        </w:r>
      </w:hyperlink>
      <w:r w:rsidRPr="009D6C2A">
        <w:rPr>
          <w:sz w:val="22"/>
          <w:szCs w:val="22"/>
        </w:rPr>
        <w:t>.</w:t>
      </w:r>
    </w:p>
    <w:p w14:paraId="02316EED" w14:textId="77777777" w:rsidR="009D6C2A" w:rsidRPr="009D6C2A" w:rsidRDefault="009D6C2A" w:rsidP="009D6C2A">
      <w:pPr>
        <w:pStyle w:val="NormalWeb"/>
        <w:rPr>
          <w:sz w:val="22"/>
          <w:szCs w:val="22"/>
        </w:rPr>
      </w:pPr>
      <w:r w:rsidRPr="009D6C2A">
        <w:rPr>
          <w:sz w:val="22"/>
          <w:szCs w:val="22"/>
        </w:rPr>
        <w:t>2. ** Atbilstoši pētījuma īstenotāja sniegtajai informācijai.</w:t>
      </w:r>
    </w:p>
    <w:p w14:paraId="643BDFF2" w14:textId="77777777" w:rsidR="00DC7DDE" w:rsidRDefault="00DC7DDE"/>
    <w:sectPr w:rsidR="00DC7D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3425"/>
    <w:multiLevelType w:val="hybridMultilevel"/>
    <w:tmpl w:val="BB94C65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F54D8"/>
    <w:multiLevelType w:val="hybridMultilevel"/>
    <w:tmpl w:val="26C01FDC"/>
    <w:lvl w:ilvl="0" w:tplc="3DB6ED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92FCD"/>
    <w:multiLevelType w:val="hybridMultilevel"/>
    <w:tmpl w:val="EF9CE78A"/>
    <w:lvl w:ilvl="0" w:tplc="2DA09F9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22CE6C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338579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269B5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95E261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54ACD8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C36B1D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978756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E092B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8B"/>
    <w:rsid w:val="000A2E15"/>
    <w:rsid w:val="000A6AD5"/>
    <w:rsid w:val="004A6E0A"/>
    <w:rsid w:val="0051148B"/>
    <w:rsid w:val="006220FA"/>
    <w:rsid w:val="00697CF4"/>
    <w:rsid w:val="007C18DC"/>
    <w:rsid w:val="009D6C2A"/>
    <w:rsid w:val="00AD5244"/>
    <w:rsid w:val="00B51AFD"/>
    <w:rsid w:val="00CF6FF0"/>
    <w:rsid w:val="00DC7DDE"/>
    <w:rsid w:val="00F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6E66"/>
  <w15:chartTrackingRefBased/>
  <w15:docId w15:val="{484335B0-2535-4ED4-A79A-BB412FA3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D6C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6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8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386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7263818468244A431A410B0DE07A8" ma:contentTypeVersion="18" ma:contentTypeDescription="Create a new document." ma:contentTypeScope="" ma:versionID="66a0a7b1f3f746ccca0fc86b45381181">
  <xsd:schema xmlns:xsd="http://www.w3.org/2001/XMLSchema" xmlns:xs="http://www.w3.org/2001/XMLSchema" xmlns:p="http://schemas.microsoft.com/office/2006/metadata/properties" xmlns:ns3="fd02f3f1-149f-4347-b8f3-09d696340dff" xmlns:ns4="6229c1b4-915d-405f-a4fb-1b2b0e7febfe" targetNamespace="http://schemas.microsoft.com/office/2006/metadata/properties" ma:root="true" ma:fieldsID="c61db79eb33201fda89a7030ca392f4d" ns3:_="" ns4:_="">
    <xsd:import namespace="fd02f3f1-149f-4347-b8f3-09d696340dff"/>
    <xsd:import namespace="6229c1b4-915d-405f-a4fb-1b2b0e7fe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2f3f1-149f-4347-b8f3-09d696340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9c1b4-915d-405f-a4fb-1b2b0e7fe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02f3f1-149f-4347-b8f3-09d696340d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C99F9-51F6-4B25-9319-A49D0D73E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2f3f1-149f-4347-b8f3-09d696340dff"/>
    <ds:schemaRef ds:uri="6229c1b4-915d-405f-a4fb-1b2b0e7f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4DD53-E1AB-43C0-8BFD-3180B99956BC}">
  <ds:schemaRefs>
    <ds:schemaRef ds:uri="http://purl.org/dc/elements/1.1/"/>
    <ds:schemaRef ds:uri="http://schemas.microsoft.com/office/2006/metadata/properties"/>
    <ds:schemaRef ds:uri="6229c1b4-915d-405f-a4fb-1b2b0e7feb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02f3f1-149f-4347-b8f3-09d696340d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2A0BEC-661B-4791-8659-4EEA3AFC4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2638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Varis Prudņikovs</dc:creator>
  <cp:keywords/>
  <dc:description/>
  <cp:lastModifiedBy>EM</cp:lastModifiedBy>
  <cp:revision>5</cp:revision>
  <dcterms:created xsi:type="dcterms:W3CDTF">2024-12-19T13:37:00Z</dcterms:created>
  <dcterms:modified xsi:type="dcterms:W3CDTF">2025-01-27T10:42:00Z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0x0101000B57263818468244A431A410B0DE07A8</vt:lpwstr>
  </property>
</Properties>
</file>