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728D" w14:textId="77777777" w:rsidR="00656377" w:rsidRPr="00656377" w:rsidRDefault="00656377" w:rsidP="00656377">
      <w:pPr>
        <w:shd w:val="clear" w:color="auto" w:fill="B9B9FF"/>
        <w:tabs>
          <w:tab w:val="left" w:pos="-567"/>
          <w:tab w:val="left" w:pos="567"/>
        </w:tabs>
        <w:suppressAutoHyphens/>
        <w:spacing w:before="120" w:after="120" w:line="240" w:lineRule="auto"/>
        <w:ind w:left="-567"/>
        <w:jc w:val="both"/>
        <w:outlineLvl w:val="1"/>
        <w:rPr>
          <w:rFonts w:ascii="Times New Roman" w:eastAsia="Yu Mincho" w:hAnsi="Times New Roman" w:cs="Arial"/>
          <w:b/>
          <w:bCs/>
          <w:kern w:val="0"/>
          <w:lang w:val="lv-LV" w:eastAsia="en-GB"/>
          <w14:ligatures w14:val="none"/>
        </w:rPr>
      </w:pPr>
      <w:bookmarkStart w:id="0" w:name="_Toc199170826"/>
      <w:r w:rsidRPr="00656377">
        <w:rPr>
          <w:rFonts w:ascii="Times New Roman" w:eastAsia="Yu Mincho" w:hAnsi="Times New Roman" w:cs="Arial"/>
          <w:b/>
          <w:bCs/>
          <w:kern w:val="0"/>
          <w:lang w:val="lv-LV" w:eastAsia="en-GB"/>
          <w14:ligatures w14:val="none"/>
        </w:rPr>
        <w:t>PIELIKUMS NR. 1 Vienreizlietojami plastmasu saturošie izstrādājumi un tiem noteiktie pasākumi</w:t>
      </w:r>
      <w:bookmarkEnd w:id="0"/>
    </w:p>
    <w:tbl>
      <w:tblPr>
        <w:tblW w:w="9911" w:type="dxa"/>
        <w:tblInd w:w="-577" w:type="dxa"/>
        <w:tblLayout w:type="fixed"/>
        <w:tblLook w:val="04A0" w:firstRow="1" w:lastRow="0" w:firstColumn="1" w:lastColumn="0" w:noHBand="0" w:noVBand="1"/>
      </w:tblPr>
      <w:tblGrid>
        <w:gridCol w:w="567"/>
        <w:gridCol w:w="2058"/>
        <w:gridCol w:w="1404"/>
        <w:gridCol w:w="1097"/>
        <w:gridCol w:w="1448"/>
        <w:gridCol w:w="1098"/>
        <w:gridCol w:w="1135"/>
        <w:gridCol w:w="1104"/>
      </w:tblGrid>
      <w:tr w:rsidR="00656377" w:rsidRPr="00656377" w14:paraId="46C6596B" w14:textId="77777777" w:rsidTr="001863CF">
        <w:trPr>
          <w:trHeight w:val="644"/>
        </w:trPr>
        <w:tc>
          <w:tcPr>
            <w:tcW w:w="2623" w:type="dxa"/>
            <w:gridSpan w:val="2"/>
            <w:tcBorders>
              <w:top w:val="single" w:sz="8" w:space="0" w:color="BFBFBF"/>
              <w:left w:val="single" w:sz="8" w:space="0" w:color="BFBFBF"/>
              <w:bottom w:val="single" w:sz="8" w:space="0" w:color="BFBFBF"/>
              <w:right w:val="single" w:sz="8" w:space="0" w:color="BFBFBF"/>
            </w:tcBorders>
            <w:shd w:val="clear" w:color="auto" w:fill="8F9C00"/>
            <w:vAlign w:val="center"/>
          </w:tcPr>
          <w:p w14:paraId="16C9357C"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bookmarkStart w:id="1" w:name="_Hlk43454358"/>
            <w:r w:rsidRPr="00656377">
              <w:rPr>
                <w:rFonts w:ascii="Times New Roman" w:eastAsia="Yu Mincho" w:hAnsi="Times New Roman" w:cs="Times New Roman"/>
                <w:b/>
                <w:bCs/>
                <w:kern w:val="0"/>
                <w:sz w:val="18"/>
                <w:szCs w:val="18"/>
                <w:lang w:val="lv-LV"/>
                <w14:ligatures w14:val="none"/>
              </w:rPr>
              <w:t>Izstrādājumi/</w:t>
            </w:r>
            <w:r w:rsidRPr="00656377">
              <w:rPr>
                <w:rFonts w:ascii="Times New Roman" w:eastAsia="Yu Mincho" w:hAnsi="Times New Roman" w:cs="Times New Roman"/>
                <w:b/>
                <w:bCs/>
                <w:kern w:val="0"/>
                <w:sz w:val="18"/>
                <w:szCs w:val="18"/>
                <w:lang w:val="lv-LV"/>
                <w14:ligatures w14:val="none"/>
              </w:rPr>
              <w:br/>
              <w:t>Pasākumi</w:t>
            </w:r>
            <w:bookmarkEnd w:id="1"/>
          </w:p>
        </w:tc>
        <w:tc>
          <w:tcPr>
            <w:tcW w:w="1404" w:type="dxa"/>
            <w:tcBorders>
              <w:top w:val="single" w:sz="8" w:space="0" w:color="BFBFBF"/>
              <w:bottom w:val="single" w:sz="12" w:space="0" w:color="C9C9C9"/>
              <w:right w:val="single" w:sz="8" w:space="0" w:color="BFBFBF"/>
            </w:tcBorders>
            <w:shd w:val="clear" w:color="auto" w:fill="8F9C00"/>
            <w:vAlign w:val="center"/>
          </w:tcPr>
          <w:p w14:paraId="40159A9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Patēriņa samazināšana</w:t>
            </w:r>
          </w:p>
        </w:tc>
        <w:tc>
          <w:tcPr>
            <w:tcW w:w="1097" w:type="dxa"/>
            <w:tcBorders>
              <w:top w:val="single" w:sz="8" w:space="0" w:color="BFBFBF"/>
              <w:bottom w:val="single" w:sz="12" w:space="0" w:color="C9C9C9"/>
              <w:right w:val="single" w:sz="8" w:space="0" w:color="BFBFBF"/>
            </w:tcBorders>
            <w:shd w:val="clear" w:color="auto" w:fill="8F9C00"/>
            <w:vAlign w:val="center"/>
          </w:tcPr>
          <w:p w14:paraId="17D90DD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Aizliegums</w:t>
            </w:r>
          </w:p>
        </w:tc>
        <w:tc>
          <w:tcPr>
            <w:tcW w:w="1448" w:type="dxa"/>
            <w:tcBorders>
              <w:top w:val="single" w:sz="8" w:space="0" w:color="BFBFBF"/>
              <w:bottom w:val="single" w:sz="12" w:space="0" w:color="C9C9C9"/>
              <w:right w:val="single" w:sz="8" w:space="0" w:color="BFBFBF"/>
            </w:tcBorders>
            <w:shd w:val="clear" w:color="auto" w:fill="8F9C00"/>
            <w:vAlign w:val="center"/>
          </w:tcPr>
          <w:p w14:paraId="7CF5C42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Produktu dizaina noteikumi</w:t>
            </w:r>
          </w:p>
        </w:tc>
        <w:tc>
          <w:tcPr>
            <w:tcW w:w="1098" w:type="dxa"/>
            <w:tcBorders>
              <w:top w:val="single" w:sz="8" w:space="0" w:color="BFBFBF"/>
              <w:bottom w:val="single" w:sz="12" w:space="0" w:color="C9C9C9"/>
              <w:right w:val="single" w:sz="8" w:space="0" w:color="BFBFBF"/>
            </w:tcBorders>
            <w:shd w:val="clear" w:color="auto" w:fill="8F9C00"/>
            <w:vAlign w:val="center"/>
          </w:tcPr>
          <w:p w14:paraId="7B73097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Obligātā marķēšana</w:t>
            </w:r>
          </w:p>
        </w:tc>
        <w:tc>
          <w:tcPr>
            <w:tcW w:w="1135" w:type="dxa"/>
            <w:tcBorders>
              <w:top w:val="single" w:sz="8" w:space="0" w:color="BFBFBF"/>
              <w:bottom w:val="single" w:sz="12" w:space="0" w:color="C9C9C9"/>
              <w:right w:val="single" w:sz="8" w:space="0" w:color="BFBFBF"/>
            </w:tcBorders>
            <w:shd w:val="clear" w:color="auto" w:fill="8F9C00"/>
            <w:vAlign w:val="center"/>
          </w:tcPr>
          <w:p w14:paraId="073E4F3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Ražotāju paplašinātā atbildība</w:t>
            </w:r>
          </w:p>
        </w:tc>
        <w:tc>
          <w:tcPr>
            <w:tcW w:w="1104" w:type="dxa"/>
            <w:tcBorders>
              <w:top w:val="single" w:sz="8" w:space="0" w:color="BFBFBF"/>
              <w:bottom w:val="single" w:sz="12" w:space="0" w:color="C9C9C9"/>
              <w:right w:val="single" w:sz="8" w:space="0" w:color="BFBFBF"/>
            </w:tcBorders>
            <w:shd w:val="clear" w:color="auto" w:fill="8F9C00"/>
            <w:vAlign w:val="center"/>
          </w:tcPr>
          <w:p w14:paraId="7C7244C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Dalītās savākšanas prasības</w:t>
            </w:r>
          </w:p>
        </w:tc>
      </w:tr>
      <w:tr w:rsidR="00656377" w:rsidRPr="00656377" w14:paraId="3888BD08" w14:textId="77777777" w:rsidTr="001863CF">
        <w:trPr>
          <w:trHeight w:val="644"/>
        </w:trPr>
        <w:tc>
          <w:tcPr>
            <w:tcW w:w="2623" w:type="dxa"/>
            <w:gridSpan w:val="2"/>
            <w:tcBorders>
              <w:left w:val="single" w:sz="8" w:space="0" w:color="BFBFBF"/>
              <w:bottom w:val="single" w:sz="8" w:space="0" w:color="BFBFBF"/>
              <w:right w:val="single" w:sz="8" w:space="0" w:color="BFBFBF"/>
            </w:tcBorders>
            <w:shd w:val="clear" w:color="auto" w:fill="8F9C00"/>
            <w:vAlign w:val="center"/>
          </w:tcPr>
          <w:p w14:paraId="42613BE8"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Pasākumu īstenošanas termiņi</w:t>
            </w:r>
          </w:p>
        </w:tc>
        <w:tc>
          <w:tcPr>
            <w:tcW w:w="1404" w:type="dxa"/>
            <w:tcBorders>
              <w:bottom w:val="single" w:sz="8" w:space="0" w:color="BFBFBF"/>
              <w:right w:val="single" w:sz="8" w:space="0" w:color="BFBFBF"/>
            </w:tcBorders>
            <w:shd w:val="clear" w:color="auto" w:fill="8F9C00"/>
            <w:vAlign w:val="center"/>
          </w:tcPr>
          <w:p w14:paraId="27440B8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2021.gada 3.jūlijs</w:t>
            </w:r>
          </w:p>
        </w:tc>
        <w:tc>
          <w:tcPr>
            <w:tcW w:w="1097" w:type="dxa"/>
            <w:tcBorders>
              <w:bottom w:val="single" w:sz="8" w:space="0" w:color="BFBFBF"/>
              <w:right w:val="single" w:sz="8" w:space="0" w:color="BFBFBF"/>
            </w:tcBorders>
            <w:shd w:val="clear" w:color="auto" w:fill="8F9C00"/>
            <w:vAlign w:val="center"/>
          </w:tcPr>
          <w:p w14:paraId="787BD2A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2021.gada 3.jūlijs</w:t>
            </w:r>
          </w:p>
        </w:tc>
        <w:tc>
          <w:tcPr>
            <w:tcW w:w="1448" w:type="dxa"/>
            <w:tcBorders>
              <w:bottom w:val="single" w:sz="8" w:space="0" w:color="BFBFBF"/>
              <w:right w:val="single" w:sz="8" w:space="0" w:color="BFBFBF"/>
            </w:tcBorders>
            <w:shd w:val="clear" w:color="auto" w:fill="8F9C00"/>
            <w:vAlign w:val="center"/>
          </w:tcPr>
          <w:p w14:paraId="414D0D8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2024. un 2025./2030.gads</w:t>
            </w:r>
          </w:p>
        </w:tc>
        <w:tc>
          <w:tcPr>
            <w:tcW w:w="1098" w:type="dxa"/>
            <w:tcBorders>
              <w:bottom w:val="single" w:sz="8" w:space="0" w:color="BFBFBF"/>
              <w:right w:val="single" w:sz="8" w:space="0" w:color="BFBFBF"/>
            </w:tcBorders>
            <w:shd w:val="clear" w:color="auto" w:fill="8F9C00"/>
            <w:vAlign w:val="center"/>
          </w:tcPr>
          <w:p w14:paraId="440C20F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2021.gada 3.jūlijs</w:t>
            </w:r>
          </w:p>
        </w:tc>
        <w:tc>
          <w:tcPr>
            <w:tcW w:w="1135" w:type="dxa"/>
            <w:tcBorders>
              <w:bottom w:val="single" w:sz="8" w:space="0" w:color="BFBFBF"/>
              <w:right w:val="single" w:sz="8" w:space="0" w:color="BFBFBF"/>
            </w:tcBorders>
            <w:shd w:val="clear" w:color="auto" w:fill="8F9C00"/>
            <w:vAlign w:val="center"/>
          </w:tcPr>
          <w:p w14:paraId="2058D34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2023. un 2024.gads</w:t>
            </w:r>
          </w:p>
        </w:tc>
        <w:tc>
          <w:tcPr>
            <w:tcW w:w="1104" w:type="dxa"/>
            <w:tcBorders>
              <w:bottom w:val="single" w:sz="8" w:space="0" w:color="BFBFBF"/>
              <w:right w:val="single" w:sz="8" w:space="0" w:color="BFBFBF"/>
            </w:tcBorders>
            <w:shd w:val="clear" w:color="auto" w:fill="8F9C00"/>
            <w:vAlign w:val="center"/>
          </w:tcPr>
          <w:p w14:paraId="0AAD61A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2025. un 2029.gads</w:t>
            </w:r>
          </w:p>
        </w:tc>
      </w:tr>
      <w:tr w:rsidR="00656377" w:rsidRPr="00656377" w14:paraId="1F48ED9D"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70C8A290"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E64C786" wp14:editId="6B471A32">
                  <wp:extent cx="220980" cy="220980"/>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
                          <pic:cNvPicPr>
                            <a:picLocks noChangeAspect="1" noChangeArrowheads="1"/>
                          </pic:cNvPicPr>
                        </pic:nvPicPr>
                        <pic:blipFill>
                          <a:blip r:embed="rId7"/>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5C11532A"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Pārtikas iepakojums</w:t>
            </w:r>
          </w:p>
        </w:tc>
        <w:tc>
          <w:tcPr>
            <w:tcW w:w="1404" w:type="dxa"/>
            <w:tcBorders>
              <w:bottom w:val="single" w:sz="8" w:space="0" w:color="BFBFBF"/>
              <w:right w:val="single" w:sz="8" w:space="0" w:color="BFBFBF"/>
            </w:tcBorders>
            <w:shd w:val="clear" w:color="auto" w:fill="D9D9D9"/>
            <w:vAlign w:val="center"/>
          </w:tcPr>
          <w:p w14:paraId="1FB05EF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097" w:type="dxa"/>
            <w:tcBorders>
              <w:bottom w:val="single" w:sz="8" w:space="0" w:color="BFBFBF"/>
              <w:right w:val="single" w:sz="8" w:space="0" w:color="BFBFBF"/>
            </w:tcBorders>
            <w:shd w:val="clear" w:color="auto" w:fill="D9D9D9"/>
            <w:vAlign w:val="center"/>
          </w:tcPr>
          <w:p w14:paraId="4C388C2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r w:rsidRPr="00656377">
              <w:rPr>
                <w:rFonts w:ascii="Times New Roman" w:eastAsia="Yu Mincho" w:hAnsi="Times New Roman" w:cs="Times New Roman"/>
                <w:b/>
                <w:bCs/>
                <w:kern w:val="0"/>
                <w:sz w:val="18"/>
                <w:szCs w:val="18"/>
                <w:lang w:val="lv-LV"/>
                <w14:ligatures w14:val="none"/>
              </w:rPr>
              <w:t xml:space="preserve"> (putu polistirols)</w:t>
            </w:r>
          </w:p>
        </w:tc>
        <w:tc>
          <w:tcPr>
            <w:tcW w:w="1448" w:type="dxa"/>
            <w:tcBorders>
              <w:bottom w:val="single" w:sz="8" w:space="0" w:color="BFBFBF"/>
              <w:right w:val="single" w:sz="8" w:space="0" w:color="BFBFBF"/>
            </w:tcBorders>
            <w:shd w:val="clear" w:color="auto" w:fill="FFFFFF"/>
            <w:vAlign w:val="center"/>
          </w:tcPr>
          <w:p w14:paraId="3065FDF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53CC332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5BD47F1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021CA094"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883DAC8"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4BD05B1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1C4EB0C" wp14:editId="1A7A0101">
                  <wp:extent cx="220980" cy="220980"/>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noChangeArrowheads="1"/>
                          </pic:cNvPicPr>
                        </pic:nvPicPr>
                        <pic:blipFill>
                          <a:blip r:embed="rId8"/>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1343043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Pārtikas paciņas un iesaiņojumi no elastīga materiāla</w:t>
            </w:r>
          </w:p>
        </w:tc>
        <w:tc>
          <w:tcPr>
            <w:tcW w:w="1404" w:type="dxa"/>
            <w:tcBorders>
              <w:bottom w:val="single" w:sz="8" w:space="0" w:color="BFBFBF"/>
              <w:right w:val="single" w:sz="8" w:space="0" w:color="BFBFBF"/>
            </w:tcBorders>
            <w:shd w:val="clear" w:color="auto" w:fill="FFFFFF"/>
            <w:vAlign w:val="center"/>
          </w:tcPr>
          <w:p w14:paraId="0D0514F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1702D61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62DB582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3D2251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7FE6ABE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4F5E1CC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4DD129B"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56D2398"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55854E71" wp14:editId="761F1F09">
                  <wp:extent cx="220980" cy="22098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
                          <pic:cNvPicPr>
                            <a:picLocks noChangeAspect="1" noChangeArrowheads="1"/>
                          </pic:cNvPicPr>
                        </pic:nvPicPr>
                        <pic:blipFill>
                          <a:blip r:embed="rId9"/>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66FB3823"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bookmarkStart w:id="2" w:name="_Hlk193374491"/>
            <w:r w:rsidRPr="00656377">
              <w:rPr>
                <w:rFonts w:ascii="Times New Roman" w:eastAsia="Yu Mincho" w:hAnsi="Times New Roman" w:cs="Times New Roman"/>
                <w:b/>
                <w:bCs/>
                <w:kern w:val="0"/>
                <w:sz w:val="18"/>
                <w:szCs w:val="18"/>
                <w:lang w:val="lv-LV"/>
                <w14:ligatures w14:val="none"/>
              </w:rPr>
              <w:t>Vieglās plastmasas iepirkumu maisiņi</w:t>
            </w:r>
            <w:bookmarkEnd w:id="2"/>
          </w:p>
        </w:tc>
        <w:tc>
          <w:tcPr>
            <w:tcW w:w="1404" w:type="dxa"/>
            <w:tcBorders>
              <w:bottom w:val="single" w:sz="8" w:space="0" w:color="BFBFBF"/>
              <w:right w:val="single" w:sz="8" w:space="0" w:color="BFBFBF"/>
            </w:tcBorders>
            <w:shd w:val="clear" w:color="auto" w:fill="FFFFFF"/>
            <w:vAlign w:val="center"/>
          </w:tcPr>
          <w:p w14:paraId="4EA5803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3E348E3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0141358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3DAED8C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77BE28B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552E1B6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1FBD0824"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101FB142"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2ADFE880"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roofErr w:type="spellStart"/>
            <w:r w:rsidRPr="00656377">
              <w:rPr>
                <w:rFonts w:ascii="Times New Roman" w:eastAsia="Yu Mincho" w:hAnsi="Times New Roman" w:cs="Times New Roman"/>
                <w:b/>
                <w:bCs/>
                <w:kern w:val="0"/>
                <w:sz w:val="18"/>
                <w:szCs w:val="18"/>
                <w:lang w:val="lv-LV"/>
                <w14:ligatures w14:val="none"/>
              </w:rPr>
              <w:t>Oksonoārdāmās</w:t>
            </w:r>
            <w:proofErr w:type="spellEnd"/>
            <w:r w:rsidRPr="00656377">
              <w:rPr>
                <w:rFonts w:ascii="Times New Roman" w:eastAsia="Yu Mincho" w:hAnsi="Times New Roman" w:cs="Times New Roman"/>
                <w:b/>
                <w:bCs/>
                <w:kern w:val="0"/>
                <w:sz w:val="18"/>
                <w:szCs w:val="18"/>
                <w:lang w:val="lv-LV"/>
                <w14:ligatures w14:val="none"/>
              </w:rPr>
              <w:t xml:space="preserve"> plastmasas izstrādājumi</w:t>
            </w:r>
          </w:p>
        </w:tc>
        <w:tc>
          <w:tcPr>
            <w:tcW w:w="1404" w:type="dxa"/>
            <w:tcBorders>
              <w:bottom w:val="single" w:sz="8" w:space="0" w:color="BFBFBF"/>
              <w:right w:val="single" w:sz="8" w:space="0" w:color="BFBFBF"/>
            </w:tcBorders>
            <w:shd w:val="clear" w:color="auto" w:fill="FFFFFF"/>
            <w:vAlign w:val="center"/>
          </w:tcPr>
          <w:p w14:paraId="6AE740D4"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44AEE60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04BC3CE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4478CB3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9182B3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5F3F701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2147F4E"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31EE0D5E"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2F6A23E" wp14:editId="6ABAF5AB">
                  <wp:extent cx="220980" cy="22098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
                          <pic:cNvPicPr>
                            <a:picLocks noChangeAspect="1" noChangeArrowheads="1"/>
                          </pic:cNvPicPr>
                        </pic:nvPicPr>
                        <pic:blipFill>
                          <a:blip r:embed="rId10"/>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1483A32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Galda piederumi (dakšas, naži, karotes, irbulīši);</w:t>
            </w:r>
          </w:p>
          <w:p w14:paraId="19168DAC"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Šķīvji</w:t>
            </w:r>
          </w:p>
        </w:tc>
        <w:tc>
          <w:tcPr>
            <w:tcW w:w="1404" w:type="dxa"/>
            <w:tcBorders>
              <w:bottom w:val="single" w:sz="8" w:space="0" w:color="BFBFBF"/>
              <w:right w:val="single" w:sz="8" w:space="0" w:color="BFBFBF"/>
            </w:tcBorders>
            <w:shd w:val="clear" w:color="auto" w:fill="FFFFFF"/>
            <w:vAlign w:val="center"/>
          </w:tcPr>
          <w:p w14:paraId="1145C10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3C0BC0B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29ED717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526D08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0D1A8CE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4E9C6D2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25E04B5B"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4764C321"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16F9676" wp14:editId="50EBF193">
                  <wp:extent cx="220980" cy="22098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
                          <pic:cNvPicPr>
                            <a:picLocks noChangeAspect="1" noChangeArrowheads="1"/>
                          </pic:cNvPicPr>
                        </pic:nvPicPr>
                        <pic:blipFill>
                          <a:blip r:embed="rId11"/>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7F9EA320"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Dzērienu iepakojums ar ietilpību līdz 3 litriem</w:t>
            </w:r>
          </w:p>
        </w:tc>
        <w:tc>
          <w:tcPr>
            <w:tcW w:w="1404" w:type="dxa"/>
            <w:tcBorders>
              <w:bottom w:val="single" w:sz="8" w:space="0" w:color="BFBFBF"/>
              <w:right w:val="single" w:sz="8" w:space="0" w:color="BFBFBF"/>
            </w:tcBorders>
            <w:shd w:val="clear" w:color="auto" w:fill="FFFFFF"/>
            <w:vAlign w:val="center"/>
          </w:tcPr>
          <w:p w14:paraId="03E4F02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00DE910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r w:rsidRPr="00656377">
              <w:rPr>
                <w:rFonts w:ascii="Times New Roman" w:eastAsia="Yu Mincho" w:hAnsi="Times New Roman" w:cs="Times New Roman"/>
                <w:b/>
                <w:bCs/>
                <w:kern w:val="0"/>
                <w:sz w:val="18"/>
                <w:szCs w:val="18"/>
                <w:lang w:val="lv-LV"/>
                <w14:ligatures w14:val="none"/>
              </w:rPr>
              <w:t xml:space="preserve"> (putu polistirols)</w:t>
            </w:r>
          </w:p>
        </w:tc>
        <w:tc>
          <w:tcPr>
            <w:tcW w:w="1448" w:type="dxa"/>
            <w:tcBorders>
              <w:bottom w:val="single" w:sz="8" w:space="0" w:color="BFBFBF"/>
              <w:right w:val="single" w:sz="8" w:space="0" w:color="BFBFBF"/>
            </w:tcBorders>
            <w:shd w:val="clear" w:color="auto" w:fill="D9D9D9"/>
            <w:vAlign w:val="center"/>
          </w:tcPr>
          <w:p w14:paraId="756F0A4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098" w:type="dxa"/>
            <w:tcBorders>
              <w:bottom w:val="single" w:sz="8" w:space="0" w:color="BFBFBF"/>
              <w:right w:val="single" w:sz="8" w:space="0" w:color="BFBFBF"/>
            </w:tcBorders>
            <w:shd w:val="clear" w:color="auto" w:fill="FFFFFF"/>
            <w:vAlign w:val="center"/>
          </w:tcPr>
          <w:p w14:paraId="3FEABB0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2B161AE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D9D9D9"/>
            <w:vAlign w:val="center"/>
          </w:tcPr>
          <w:p w14:paraId="0A136A4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r>
      <w:tr w:rsidR="00656377" w:rsidRPr="00656377" w14:paraId="087596F2"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8B7B2AF"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069F83E6" wp14:editId="3093CCD2">
                  <wp:extent cx="220980" cy="22098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1"/>
                          <pic:cNvPicPr>
                            <a:picLocks noChangeAspect="1" noChangeArrowheads="1"/>
                          </pic:cNvPicPr>
                        </pic:nvPicPr>
                        <pic:blipFill>
                          <a:blip r:embed="rId12"/>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2A4EA823"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Dzērienu glāzes, tostarp to vāciņi</w:t>
            </w:r>
          </w:p>
        </w:tc>
        <w:tc>
          <w:tcPr>
            <w:tcW w:w="1404" w:type="dxa"/>
            <w:tcBorders>
              <w:bottom w:val="single" w:sz="8" w:space="0" w:color="BFBFBF"/>
              <w:right w:val="single" w:sz="8" w:space="0" w:color="BFBFBF"/>
            </w:tcBorders>
            <w:shd w:val="clear" w:color="auto" w:fill="D9D9D9"/>
            <w:vAlign w:val="center"/>
          </w:tcPr>
          <w:p w14:paraId="269501E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097" w:type="dxa"/>
            <w:tcBorders>
              <w:bottom w:val="single" w:sz="8" w:space="0" w:color="BFBFBF"/>
              <w:right w:val="single" w:sz="8" w:space="0" w:color="BFBFBF"/>
            </w:tcBorders>
            <w:shd w:val="clear" w:color="auto" w:fill="D9D9D9"/>
            <w:vAlign w:val="center"/>
          </w:tcPr>
          <w:p w14:paraId="3D770E2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r w:rsidRPr="00656377">
              <w:rPr>
                <w:rFonts w:ascii="Times New Roman" w:eastAsia="Yu Mincho" w:hAnsi="Times New Roman" w:cs="Times New Roman"/>
                <w:b/>
                <w:bCs/>
                <w:kern w:val="0"/>
                <w:sz w:val="18"/>
                <w:szCs w:val="18"/>
                <w:lang w:val="lv-LV"/>
                <w14:ligatures w14:val="none"/>
              </w:rPr>
              <w:t xml:space="preserve"> (putu polistirols)</w:t>
            </w:r>
          </w:p>
        </w:tc>
        <w:tc>
          <w:tcPr>
            <w:tcW w:w="1448" w:type="dxa"/>
            <w:tcBorders>
              <w:bottom w:val="single" w:sz="8" w:space="0" w:color="BFBFBF"/>
              <w:right w:val="single" w:sz="8" w:space="0" w:color="BFBFBF"/>
            </w:tcBorders>
            <w:shd w:val="clear" w:color="auto" w:fill="FFFFFF"/>
            <w:vAlign w:val="center"/>
          </w:tcPr>
          <w:p w14:paraId="1B66C51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50A3AB7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D9D9D9"/>
            <w:vAlign w:val="center"/>
          </w:tcPr>
          <w:p w14:paraId="31F4EEB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1C767BB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312EFB61"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22C6582"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1C3EEA6B"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 xml:space="preserve">Dzērienu </w:t>
            </w:r>
            <w:proofErr w:type="spellStart"/>
            <w:r w:rsidRPr="00656377">
              <w:rPr>
                <w:rFonts w:ascii="Times New Roman" w:eastAsia="Yu Mincho" w:hAnsi="Times New Roman" w:cs="Times New Roman"/>
                <w:b/>
                <w:bCs/>
                <w:kern w:val="0"/>
                <w:sz w:val="18"/>
                <w:szCs w:val="18"/>
                <w:lang w:val="lv-LV"/>
                <w14:ligatures w14:val="none"/>
              </w:rPr>
              <w:t>maisāmkociņi</w:t>
            </w:r>
            <w:proofErr w:type="spellEnd"/>
          </w:p>
        </w:tc>
        <w:tc>
          <w:tcPr>
            <w:tcW w:w="1404" w:type="dxa"/>
            <w:tcBorders>
              <w:bottom w:val="single" w:sz="8" w:space="0" w:color="BFBFBF"/>
              <w:right w:val="single" w:sz="8" w:space="0" w:color="BFBFBF"/>
            </w:tcBorders>
            <w:shd w:val="clear" w:color="auto" w:fill="FFFFFF"/>
            <w:vAlign w:val="center"/>
          </w:tcPr>
          <w:p w14:paraId="34B3DB9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72FB3B9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2B29071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6002AA7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1537E2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5B1AE0C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9A6525F"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726E891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158DEA76"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Salmiņi</w:t>
            </w:r>
          </w:p>
        </w:tc>
        <w:tc>
          <w:tcPr>
            <w:tcW w:w="1404" w:type="dxa"/>
            <w:tcBorders>
              <w:bottom w:val="single" w:sz="8" w:space="0" w:color="BFBFBF"/>
              <w:right w:val="single" w:sz="8" w:space="0" w:color="BFBFBF"/>
            </w:tcBorders>
            <w:shd w:val="clear" w:color="auto" w:fill="FFFFFF"/>
            <w:vAlign w:val="center"/>
          </w:tcPr>
          <w:p w14:paraId="00685FD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3F31DD6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77077C8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7541338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1630F9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3059372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79C8CAE5"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CB2F9FA"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31256BF5" wp14:editId="03AB5D6A">
                  <wp:extent cx="220980" cy="220980"/>
                  <wp:effectExtent l="0" t="0" r="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
                          <pic:cNvPicPr>
                            <a:picLocks noChangeAspect="1" noChangeArrowheads="1"/>
                          </pic:cNvPicPr>
                        </pic:nvPicPr>
                        <pic:blipFill>
                          <a:blip r:embed="rId13"/>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692CC223"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Tabakas izstrādājumi ar filtriem un filtri</w:t>
            </w:r>
          </w:p>
        </w:tc>
        <w:tc>
          <w:tcPr>
            <w:tcW w:w="1404" w:type="dxa"/>
            <w:tcBorders>
              <w:bottom w:val="single" w:sz="8" w:space="0" w:color="BFBFBF"/>
              <w:right w:val="single" w:sz="8" w:space="0" w:color="BFBFBF"/>
            </w:tcBorders>
            <w:shd w:val="clear" w:color="auto" w:fill="FFFFFF"/>
            <w:vAlign w:val="center"/>
          </w:tcPr>
          <w:p w14:paraId="75209C24"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7F1312B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19C1668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2B86E22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D9D9D9"/>
            <w:vAlign w:val="center"/>
          </w:tcPr>
          <w:p w14:paraId="709E798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0AA868C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072827CE"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71CB844"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602B62F4" wp14:editId="7B80145C">
                  <wp:extent cx="220980" cy="22098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pic:cNvPicPr>
                            <a:picLocks noChangeAspect="1" noChangeArrowheads="1"/>
                          </pic:cNvPicPr>
                        </pic:nvPicPr>
                        <pic:blipFill>
                          <a:blip r:embed="rId14"/>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13D5D2F6"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Baloniem piestiprināmi un to turēšanai domāti kociņi</w:t>
            </w:r>
          </w:p>
        </w:tc>
        <w:tc>
          <w:tcPr>
            <w:tcW w:w="1404" w:type="dxa"/>
            <w:tcBorders>
              <w:bottom w:val="single" w:sz="8" w:space="0" w:color="BFBFBF"/>
              <w:right w:val="single" w:sz="8" w:space="0" w:color="BFBFBF"/>
            </w:tcBorders>
            <w:shd w:val="clear" w:color="auto" w:fill="FFFFFF"/>
            <w:vAlign w:val="center"/>
          </w:tcPr>
          <w:p w14:paraId="0D0ADB1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748301C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60E7162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C49326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3F20672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5921F7B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3279D178"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A8BCFE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7B9A18EF" wp14:editId="61BB916B">
                  <wp:extent cx="220980" cy="22098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5"/>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50B357A9"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Baloni</w:t>
            </w:r>
          </w:p>
        </w:tc>
        <w:tc>
          <w:tcPr>
            <w:tcW w:w="1404" w:type="dxa"/>
            <w:tcBorders>
              <w:bottom w:val="single" w:sz="8" w:space="0" w:color="BFBFBF"/>
              <w:right w:val="single" w:sz="8" w:space="0" w:color="BFBFBF"/>
            </w:tcBorders>
            <w:shd w:val="clear" w:color="auto" w:fill="FFFFFF"/>
            <w:vAlign w:val="center"/>
          </w:tcPr>
          <w:p w14:paraId="0B36D59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51AC207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5365B08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7F31C8D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33F3AB5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2601E9F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064AA5A"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0665C489"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73C694CD" wp14:editId="244781FF">
                  <wp:extent cx="220980" cy="220980"/>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pic:cNvPicPr>
                            <a:picLocks noChangeAspect="1" noChangeArrowheads="1"/>
                          </pic:cNvPicPr>
                        </pic:nvPicPr>
                        <pic:blipFill>
                          <a:blip r:embed="rId16"/>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09316A61"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Mitrās salvetes</w:t>
            </w:r>
          </w:p>
        </w:tc>
        <w:tc>
          <w:tcPr>
            <w:tcW w:w="1404" w:type="dxa"/>
            <w:tcBorders>
              <w:bottom w:val="single" w:sz="8" w:space="0" w:color="BFBFBF"/>
              <w:right w:val="single" w:sz="8" w:space="0" w:color="BFBFBF"/>
            </w:tcBorders>
            <w:shd w:val="clear" w:color="auto" w:fill="FFFFFF"/>
            <w:vAlign w:val="center"/>
          </w:tcPr>
          <w:p w14:paraId="47CABDF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47E6857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719A42A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45FBCB2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D9D9D9"/>
            <w:vAlign w:val="center"/>
          </w:tcPr>
          <w:p w14:paraId="67AD398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7B860B1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0B2805AA"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10E82AAC"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6652E17C" wp14:editId="14A147B0">
                  <wp:extent cx="220980" cy="220980"/>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pic:cNvPicPr>
                            <a:picLocks noChangeAspect="1" noChangeArrowheads="1"/>
                          </pic:cNvPicPr>
                        </pic:nvPicPr>
                        <pic:blipFill>
                          <a:blip r:embed="rId17"/>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35B9B22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Higiēnas preces</w:t>
            </w:r>
          </w:p>
        </w:tc>
        <w:tc>
          <w:tcPr>
            <w:tcW w:w="1404" w:type="dxa"/>
            <w:tcBorders>
              <w:bottom w:val="single" w:sz="8" w:space="0" w:color="BFBFBF"/>
              <w:right w:val="single" w:sz="8" w:space="0" w:color="BFBFBF"/>
            </w:tcBorders>
            <w:shd w:val="clear" w:color="auto" w:fill="FFFFFF"/>
            <w:vAlign w:val="center"/>
          </w:tcPr>
          <w:p w14:paraId="2FF40EF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40EF8F5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415B0CD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5D08873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FFFFFF"/>
            <w:vAlign w:val="center"/>
          </w:tcPr>
          <w:p w14:paraId="2B37630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06DDEF0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2157257F"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196DF29F"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0A47E529" wp14:editId="032F0E8B">
                  <wp:extent cx="220980" cy="22098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noChangeArrowheads="1"/>
                          </pic:cNvPicPr>
                        </pic:nvPicPr>
                        <pic:blipFill>
                          <a:blip r:embed="rId18"/>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2A018984"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Vates kociņi</w:t>
            </w:r>
          </w:p>
        </w:tc>
        <w:tc>
          <w:tcPr>
            <w:tcW w:w="1404" w:type="dxa"/>
            <w:tcBorders>
              <w:bottom w:val="single" w:sz="8" w:space="0" w:color="BFBFBF"/>
              <w:right w:val="single" w:sz="8" w:space="0" w:color="BFBFBF"/>
            </w:tcBorders>
            <w:shd w:val="clear" w:color="auto" w:fill="FFFFFF"/>
            <w:vAlign w:val="center"/>
          </w:tcPr>
          <w:p w14:paraId="180558E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2031835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26889B7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61C1E00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5BD442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28ECD94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0C1CA2FA" w14:textId="77777777" w:rsidTr="001863CF">
        <w:trPr>
          <w:trHeight w:val="397"/>
        </w:trPr>
        <w:tc>
          <w:tcPr>
            <w:tcW w:w="566" w:type="dxa"/>
            <w:tcBorders>
              <w:left w:val="single" w:sz="8" w:space="0" w:color="BFBFBF"/>
            </w:tcBorders>
            <w:shd w:val="clear" w:color="auto" w:fill="FFFFFF"/>
            <w:vAlign w:val="center"/>
          </w:tcPr>
          <w:p w14:paraId="27464A49"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3F4DAA43" wp14:editId="218995ED">
                  <wp:extent cx="220980" cy="220980"/>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19"/>
                          <a:stretch>
                            <a:fillRect/>
                          </a:stretch>
                        </pic:blipFill>
                        <pic:spPr bwMode="auto">
                          <a:xfrm>
                            <a:off x="0" y="0"/>
                            <a:ext cx="220980" cy="220980"/>
                          </a:xfrm>
                          <a:prstGeom prst="rect">
                            <a:avLst/>
                          </a:prstGeom>
                        </pic:spPr>
                      </pic:pic>
                    </a:graphicData>
                  </a:graphic>
                </wp:inline>
              </w:drawing>
            </w:r>
          </w:p>
        </w:tc>
        <w:tc>
          <w:tcPr>
            <w:tcW w:w="2057" w:type="dxa"/>
            <w:tcBorders>
              <w:right w:val="single" w:sz="8" w:space="0" w:color="BFBFBF"/>
            </w:tcBorders>
            <w:shd w:val="clear" w:color="auto" w:fill="FFFFFF"/>
            <w:vAlign w:val="center"/>
          </w:tcPr>
          <w:p w14:paraId="4E9CA17E"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Plastmasu saturoši zvejas rīki</w:t>
            </w:r>
          </w:p>
        </w:tc>
        <w:tc>
          <w:tcPr>
            <w:tcW w:w="1404" w:type="dxa"/>
            <w:tcBorders>
              <w:right w:val="single" w:sz="8" w:space="0" w:color="BFBFBF"/>
            </w:tcBorders>
            <w:shd w:val="clear" w:color="auto" w:fill="FFFFFF"/>
            <w:vAlign w:val="center"/>
          </w:tcPr>
          <w:p w14:paraId="69EC49D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right w:val="single" w:sz="8" w:space="0" w:color="BFBFBF"/>
            </w:tcBorders>
            <w:shd w:val="clear" w:color="auto" w:fill="FFFFFF"/>
            <w:vAlign w:val="center"/>
          </w:tcPr>
          <w:p w14:paraId="28D9D2F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right w:val="single" w:sz="8" w:space="0" w:color="BFBFBF"/>
            </w:tcBorders>
            <w:shd w:val="clear" w:color="auto" w:fill="FFFFFF"/>
            <w:vAlign w:val="center"/>
          </w:tcPr>
          <w:p w14:paraId="477F0BF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right w:val="single" w:sz="8" w:space="0" w:color="BFBFBF"/>
            </w:tcBorders>
            <w:shd w:val="clear" w:color="auto" w:fill="FFFFFF"/>
            <w:vAlign w:val="center"/>
          </w:tcPr>
          <w:p w14:paraId="6FFC0D4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right w:val="single" w:sz="8" w:space="0" w:color="BFBFBF"/>
            </w:tcBorders>
            <w:shd w:val="clear" w:color="auto" w:fill="D9D9D9"/>
            <w:vAlign w:val="center"/>
          </w:tcPr>
          <w:p w14:paraId="339730B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right w:val="single" w:sz="8" w:space="0" w:color="BFBFBF"/>
            </w:tcBorders>
            <w:shd w:val="clear" w:color="auto" w:fill="FFFFFF"/>
            <w:vAlign w:val="center"/>
          </w:tcPr>
          <w:p w14:paraId="4A35C6E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101B07B9"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41A50B7D" w14:textId="77777777" w:rsidR="00656377" w:rsidRPr="00656377" w:rsidRDefault="00656377" w:rsidP="00656377">
            <w:pPr>
              <w:suppressAutoHyphens/>
              <w:spacing w:after="0" w:line="240" w:lineRule="auto"/>
              <w:contextualSpacing/>
              <w:rPr>
                <w:rFonts w:ascii="Times New Roman" w:eastAsia="Yu Mincho" w:hAnsi="Times New Roman" w:cs="Times New Roman"/>
                <w:b/>
                <w:bCs/>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73B69CDD" w14:textId="77777777" w:rsidR="00656377" w:rsidRPr="00656377" w:rsidRDefault="00656377" w:rsidP="00656377">
            <w:pPr>
              <w:suppressAutoHyphens/>
              <w:spacing w:after="0" w:line="240" w:lineRule="auto"/>
              <w:contextualSpacing/>
              <w:rPr>
                <w:rFonts w:ascii="Times New Roman" w:eastAsia="Yu Mincho" w:hAnsi="Times New Roman" w:cs="Times New Roman"/>
                <w:b/>
                <w:bCs/>
                <w:kern w:val="0"/>
                <w:sz w:val="18"/>
                <w:szCs w:val="18"/>
                <w:lang w:val="lv-LV"/>
                <w14:ligatures w14:val="none"/>
              </w:rPr>
            </w:pPr>
            <w:r w:rsidRPr="00656377">
              <w:rPr>
                <w:rFonts w:ascii="Times New Roman" w:eastAsia="Yu Mincho" w:hAnsi="Times New Roman" w:cs="Times New Roman"/>
                <w:b/>
                <w:bCs/>
                <w:color w:val="FF0000"/>
                <w:kern w:val="0"/>
                <w:sz w:val="18"/>
                <w:szCs w:val="18"/>
                <w:lang w:val="lv-LV"/>
                <w14:ligatures w14:val="none"/>
              </w:rPr>
              <w:t>Konfeti</w:t>
            </w:r>
          </w:p>
        </w:tc>
        <w:tc>
          <w:tcPr>
            <w:tcW w:w="1404" w:type="dxa"/>
            <w:tcBorders>
              <w:bottom w:val="single" w:sz="8" w:space="0" w:color="BFBFBF"/>
              <w:right w:val="single" w:sz="8" w:space="0" w:color="BFBFBF"/>
            </w:tcBorders>
            <w:shd w:val="clear" w:color="auto" w:fill="FFFFFF"/>
            <w:vAlign w:val="center"/>
          </w:tcPr>
          <w:p w14:paraId="3FACBE0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6103C4A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b/>
                <w:bCs/>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2026. gada 1. janvāra</w:t>
            </w:r>
          </w:p>
        </w:tc>
        <w:tc>
          <w:tcPr>
            <w:tcW w:w="1448" w:type="dxa"/>
            <w:tcBorders>
              <w:bottom w:val="single" w:sz="8" w:space="0" w:color="BFBFBF"/>
              <w:right w:val="single" w:sz="8" w:space="0" w:color="BFBFBF"/>
            </w:tcBorders>
            <w:shd w:val="clear" w:color="auto" w:fill="FFFFFF"/>
            <w:vAlign w:val="center"/>
          </w:tcPr>
          <w:p w14:paraId="689B080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E90404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auto"/>
            <w:vAlign w:val="center"/>
          </w:tcPr>
          <w:p w14:paraId="1EFE92B3" w14:textId="77777777" w:rsidR="00656377" w:rsidRPr="00656377" w:rsidRDefault="00656377" w:rsidP="00656377">
            <w:pPr>
              <w:suppressAutoHyphens/>
              <w:spacing w:after="0" w:line="240" w:lineRule="auto"/>
              <w:contextualSpacing/>
              <w:jc w:val="center"/>
              <w:rPr>
                <w:rFonts w:ascii="Segoe UI Symbol" w:eastAsia="Yu Mincho" w:hAnsi="Segoe UI Symbol" w:cs="Segoe UI Symbol"/>
                <w:b/>
                <w:bCs/>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274EABA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bl>
    <w:p w14:paraId="7803FB93" w14:textId="77777777" w:rsidR="00656377" w:rsidRPr="00656377" w:rsidRDefault="00656377" w:rsidP="00656377">
      <w:pPr>
        <w:keepNext/>
        <w:suppressAutoHyphens/>
        <w:spacing w:before="120" w:after="120" w:line="240" w:lineRule="auto"/>
        <w:jc w:val="center"/>
        <w:rPr>
          <w:rFonts w:ascii="Times New Roman" w:eastAsia="Yu Mincho" w:hAnsi="Times New Roman" w:cs="Times New Roman"/>
          <w:kern w:val="0"/>
          <w:sz w:val="20"/>
          <w:szCs w:val="20"/>
          <w:lang w:val="lv-LV"/>
          <w14:ligatures w14:val="none"/>
        </w:rPr>
      </w:pPr>
      <w:r w:rsidRPr="00656377">
        <w:rPr>
          <w:rFonts w:ascii="Times New Roman" w:eastAsia="Yu Mincho" w:hAnsi="Times New Roman" w:cs="Times New Roman"/>
          <w:kern w:val="0"/>
          <w:sz w:val="20"/>
          <w:szCs w:val="20"/>
          <w:lang w:val="lv-LV"/>
          <w14:ligatures w14:val="none"/>
        </w:rPr>
        <w:t>Avots: Plastmasu saturošu izstrādājumu patēriņa samazināšanas likuma anotācija</w:t>
      </w:r>
    </w:p>
    <w:p w14:paraId="4BD73F85" w14:textId="77777777" w:rsidR="00656377" w:rsidRPr="00656377" w:rsidRDefault="00656377" w:rsidP="00656377">
      <w:pPr>
        <w:suppressAutoHyphens/>
        <w:spacing w:before="100" w:after="200" w:line="276" w:lineRule="auto"/>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br w:type="page"/>
      </w:r>
    </w:p>
    <w:p w14:paraId="1BACBABE" w14:textId="77777777" w:rsidR="00656377" w:rsidRPr="00656377" w:rsidRDefault="00656377" w:rsidP="00656377">
      <w:pPr>
        <w:suppressAutoHyphens/>
        <w:spacing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lastRenderedPageBreak/>
        <w:t>Patēriņa samazināšanas pasākums</w:t>
      </w:r>
      <w:r w:rsidRPr="00656377">
        <w:rPr>
          <w:rFonts w:ascii="Times New Roman" w:eastAsia="Yu Mincho" w:hAnsi="Times New Roman" w:cs="Arial"/>
          <w:kern w:val="0"/>
          <w:szCs w:val="20"/>
          <w:lang w:val="lv-LV"/>
          <w14:ligatures w14:val="none"/>
        </w:rPr>
        <w:t xml:space="preserve"> nosaka ražotājam par pienākumu piedāvāt vai pārdot patērētājam alternatīvas vienreizlietojamās plastmasas pārtikas iepakojumam un dzēriena glāzēm (t.sk. to vāciņiem, kā arī informēt patērētājus par iespēju izmantot līdzpaņemtas dzērienu glāzes vai pārtikas iepakojumu kā alternatīvu). Papildus tam, neizsniegt patērētajam iepriekšminētos vienreizlietojamās plastmasas izstrādājumus bez maksas. Patēriņa samazināšanas pasākuma prasības neattiecas uz tādu dzērienu iepakojumu, šķīvjiem, paciņām un iesaiņojumu, kurā iepakota pārtika un kurā, pārtiku individuālam patēriņam, iepako ražošanas līnijā, pēc tam nogādājot uz tirdzniecības vietu, kas atrodas ārpus ražotnes vai ražotāja noliktavas.</w:t>
      </w:r>
      <w:r w:rsidRPr="00656377">
        <w:rPr>
          <w:rFonts w:ascii="Times New Roman" w:eastAsia="Yu Mincho" w:hAnsi="Times New Roman" w:cs="Arial"/>
          <w:kern w:val="0"/>
          <w:szCs w:val="20"/>
          <w:vertAlign w:val="superscript"/>
          <w:lang w:val="lv-LV"/>
          <w14:ligatures w14:val="none"/>
        </w:rPr>
        <w:endnoteReference w:id="1"/>
      </w:r>
      <w:r w:rsidRPr="00656377">
        <w:rPr>
          <w:rFonts w:ascii="Times New Roman" w:eastAsia="Yu Mincho" w:hAnsi="Times New Roman" w:cs="Arial"/>
          <w:kern w:val="0"/>
          <w:szCs w:val="20"/>
          <w:lang w:val="lv-LV"/>
          <w14:ligatures w14:val="none"/>
        </w:rPr>
        <w:t xml:space="preserve"> Šī norma stājās spēkā 2021. gada 3. jūlijā un ir piemērojama jau vairāk nekā trīs gadus. </w:t>
      </w:r>
    </w:p>
    <w:p w14:paraId="4C84D44E"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Aizliegums plastmasu saturošu izstrādājumu laišanai tirgū</w:t>
      </w:r>
      <w:r w:rsidRPr="00656377">
        <w:rPr>
          <w:rFonts w:ascii="Times New Roman" w:eastAsia="Yu Mincho" w:hAnsi="Times New Roman" w:cs="Arial"/>
          <w:kern w:val="0"/>
          <w:szCs w:val="20"/>
          <w:lang w:val="lv-LV"/>
          <w14:ligatures w14:val="none"/>
        </w:rPr>
        <w:t xml:space="preserve"> attiecināms uz ražotājiem, kuri laiž tirgū vates kociņus, galda piederumus (dakšiņas, naži, karotes, irbulīši), šķīvjus, salmiņus, dzērienu </w:t>
      </w:r>
      <w:proofErr w:type="spellStart"/>
      <w:r w:rsidRPr="00656377">
        <w:rPr>
          <w:rFonts w:ascii="Times New Roman" w:eastAsia="Yu Mincho" w:hAnsi="Times New Roman" w:cs="Arial"/>
          <w:kern w:val="0"/>
          <w:szCs w:val="20"/>
          <w:lang w:val="lv-LV"/>
          <w14:ligatures w14:val="none"/>
        </w:rPr>
        <w:t>maisāmkociņus</w:t>
      </w:r>
      <w:proofErr w:type="spellEnd"/>
      <w:r w:rsidRPr="00656377">
        <w:rPr>
          <w:rFonts w:ascii="Times New Roman" w:eastAsia="Yu Mincho" w:hAnsi="Times New Roman" w:cs="Arial"/>
          <w:kern w:val="0"/>
          <w:szCs w:val="20"/>
          <w:lang w:val="lv-LV"/>
          <w14:ligatures w14:val="none"/>
        </w:rPr>
        <w:t xml:space="preserve">, baloniem piestiprināmus un to turēšanai domātus kociņus, no putu polistirola izgatavotus pārtikas iepakojumus, no putu polistirola izgatavotus dzērienu iepakojumus un tā korķīšus un vāciņus, kā arī dzērienu glāzes. Kā arī izstrādājumiem, kas izgatavoti no </w:t>
      </w:r>
      <w:proofErr w:type="spellStart"/>
      <w:r w:rsidRPr="00656377">
        <w:rPr>
          <w:rFonts w:ascii="Times New Roman" w:eastAsia="Yu Mincho" w:hAnsi="Times New Roman" w:cs="Arial"/>
          <w:kern w:val="0"/>
          <w:szCs w:val="20"/>
          <w:lang w:val="lv-LV"/>
          <w14:ligatures w14:val="none"/>
        </w:rPr>
        <w:t>oksonoārdāmas</w:t>
      </w:r>
      <w:proofErr w:type="spellEnd"/>
      <w:r w:rsidRPr="00656377">
        <w:rPr>
          <w:rFonts w:ascii="Times New Roman" w:eastAsia="Yu Mincho" w:hAnsi="Times New Roman" w:cs="Arial"/>
          <w:kern w:val="0"/>
          <w:szCs w:val="20"/>
          <w:lang w:val="lv-LV"/>
          <w14:ligatures w14:val="none"/>
        </w:rPr>
        <w:t xml:space="preserve"> plastmasas. Šī norma stājās spēkā 2021. gada 3. jūlijā un ir piemērojama jau vairāk nekā trīs gadus. </w:t>
      </w:r>
    </w:p>
    <w:p w14:paraId="1ED1808A"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Līdz ar 2025. gada 23. janvāra likuma grozījumiem, kuri stājās spēkā 2025. gada 20. februārī, aizliegums laist tirgū ir attiecināms arī uz konfeti un tos saturošiem priekšmetiem, bet aizliegumu nepiemēro, ja tajā minētie izstrādājumi (konfeti un tos saturoši priekšmeti) laisti tirgū līdz 2025. gada 31. decembrim un to var dokumentāri pamatot ar preču piegādes dokumentiem vai muitas deklarācijām, kas noformētas atbilstoši muitas procedūrai - laišana brīvā apgrozībā.</w:t>
      </w:r>
      <w:r w:rsidRPr="00656377">
        <w:rPr>
          <w:rFonts w:ascii="Times New Roman" w:eastAsia="Yu Mincho" w:hAnsi="Times New Roman" w:cs="Arial"/>
          <w:kern w:val="0"/>
          <w:szCs w:val="20"/>
          <w:vertAlign w:val="superscript"/>
          <w:lang w:val="lv-LV"/>
          <w14:ligatures w14:val="none"/>
        </w:rPr>
        <w:endnoteReference w:id="2"/>
      </w:r>
      <w:r w:rsidRPr="00656377">
        <w:rPr>
          <w:rFonts w:ascii="Times New Roman" w:eastAsia="Yu Mincho" w:hAnsi="Times New Roman" w:cs="Arial"/>
          <w:kern w:val="0"/>
          <w:szCs w:val="20"/>
          <w:lang w:val="lv-LV"/>
          <w14:ligatures w14:val="none"/>
        </w:rPr>
        <w:t xml:space="preserve"> </w:t>
      </w:r>
    </w:p>
    <w:p w14:paraId="663CFD8E"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 xml:space="preserve">Produkta dizaina noteikumi </w:t>
      </w:r>
      <w:r w:rsidRPr="00656377">
        <w:rPr>
          <w:rFonts w:ascii="Times New Roman" w:eastAsia="Yu Mincho" w:hAnsi="Times New Roman" w:cs="Arial"/>
          <w:kern w:val="0"/>
          <w:szCs w:val="20"/>
          <w:lang w:val="lv-LV"/>
          <w14:ligatures w14:val="none"/>
        </w:rPr>
        <w:t xml:space="preserve">attiecas uz ražotājiem, kuri laiž tirgū dzērienus vienreizlietojamā plastmasu saturošā, vai kompozīta iepakojumā ar ietilpību līdz trim litriem (dzērienu iepakojums, tā korķīši un vāciņi). Noteikumi nosaka pārstrādātā materiāla obligāto minimālo īpatsvaru dzērienu polietilēntereftalāta iepakojumā un citos plastmasas dzērienu iepakojumos. Ražotājs drīkst laist tirgū dzērienus vienreizlietojamā plastmasu saturošā, vai kompozīta iepakojumā ar ietilpību līdz trim litriem (dzērienu iepakojums, tā korķīši un vāciņi), ja dzērienu iepakojums satur vismaz 30 % pārstrādātas plastmasas. </w:t>
      </w:r>
    </w:p>
    <w:p w14:paraId="4CD81F1B"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No 2025. gada 1. janvāra līdz 2029. gada 31. decembrim atļauts laist tirgū dzērienu iepakojumus, kuru galvenā sastāvdaļa ir polietilēntereftalāts, kas satur vismaz 25% pārstrādātas plastmasas. Savukārt prasību par pārstrādātas plastmasas īpatsvaru 30% apmērā dzērienu iepakojumos piemēro pēc 2029. gada 31. decembra.</w:t>
      </w:r>
    </w:p>
    <w:p w14:paraId="1A2E2594" w14:textId="52E864CF"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 xml:space="preserve">Papildus dzērienus vienreizlietojamā plastmasu saturošā vai kompozīta iepakojumā ar ietilpību līdz trim litriem (dzērienu iepakojums, tā korķīši un vāciņi) ir atļauts laist tirgū tikai tad, ja no plastmasas izgatavotie korķīši un vāciņi visā paredzētajā dzērienu iepakojuma lietošanas laikā nav atdalāmi no dzērienu iepakojuma. Prasību piemēro </w:t>
      </w:r>
      <w:r w:rsidR="00627E79">
        <w:rPr>
          <w:rFonts w:ascii="Times New Roman" w:eastAsia="Yu Mincho" w:hAnsi="Times New Roman" w:cs="Arial"/>
          <w:kern w:val="0"/>
          <w:szCs w:val="20"/>
          <w:lang w:val="lv-LV"/>
          <w14:ligatures w14:val="none"/>
        </w:rPr>
        <w:t>pēc</w:t>
      </w:r>
      <w:r w:rsidRPr="00656377">
        <w:rPr>
          <w:rFonts w:ascii="Times New Roman" w:eastAsia="Yu Mincho" w:hAnsi="Times New Roman" w:cs="Arial"/>
          <w:kern w:val="0"/>
          <w:szCs w:val="20"/>
          <w:lang w:val="lv-LV"/>
          <w14:ligatures w14:val="none"/>
        </w:rPr>
        <w:t xml:space="preserve"> 2024. gada 2. jūlija. </w:t>
      </w:r>
    </w:p>
    <w:p w14:paraId="77645F47"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Obligātās marķēšanas prasības</w:t>
      </w:r>
      <w:r w:rsidRPr="00656377">
        <w:rPr>
          <w:rFonts w:ascii="Times New Roman" w:eastAsia="Yu Mincho" w:hAnsi="Times New Roman" w:cs="Arial"/>
          <w:kern w:val="0"/>
          <w:szCs w:val="20"/>
          <w:lang w:val="lv-LV"/>
          <w14:ligatures w14:val="none"/>
        </w:rPr>
        <w:t xml:space="preserve"> attiecas uz ražotājiem, kuri laiž tirgū specifiskos izstrādājumus un paredz, ka uz iepakojuma vai izstrādājuma jābūt skaidri saredzamam, salasāmam un </w:t>
      </w:r>
      <w:r w:rsidRPr="00656377">
        <w:rPr>
          <w:rFonts w:ascii="Times New Roman" w:eastAsia="Yu Mincho" w:hAnsi="Times New Roman" w:cs="Arial"/>
          <w:kern w:val="0"/>
          <w:szCs w:val="20"/>
          <w:lang w:val="lv-LV"/>
          <w14:ligatures w14:val="none"/>
        </w:rPr>
        <w:lastRenderedPageBreak/>
        <w:t xml:space="preserve">neizdzēšamam marķējumam, kas informē patērētājus par pareizu atkritumu apsaimniekošanu, plastmasas saturu izstrādājumā un tās negatīvo ietekmi uz vidi, ja tā nonāk vidē vai neatbilstošā atkritumu konteinerā. Saskaņā ar Valsts valodas likuma 21.panta otro un trešo daļu informācija marķējumā jāsniedz latviešu valodā (izņemot sastāvdaļu nosaukumus, kurus norāda atbilstoši starptautiskai nomenklatūrai). Attiecināmas uz higiēniskajām paketēm, tamponiem un tamponu aplikatoriem, mitrajām salvetēm, tabakas izstrādājumiem ar filtriem un filtriem, kas paredzēti lietošanai kopā ar tabakas izstrādājumiem (turpmāk – tabakas izstrādājumi), kā arī dzērienu glāzēm. Šī norma stājās spēkā 2021. gada 3. jūlijā un ir piemērojama jau vairāk nekā trīs gadus. </w:t>
      </w:r>
    </w:p>
    <w:p w14:paraId="60A80FB1"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 xml:space="preserve">Ražotāja paplašinātās atbildības sistēma </w:t>
      </w:r>
      <w:r w:rsidRPr="00656377">
        <w:rPr>
          <w:rFonts w:ascii="Times New Roman" w:eastAsia="Yu Mincho" w:hAnsi="Times New Roman" w:cs="Arial"/>
          <w:kern w:val="0"/>
          <w:szCs w:val="20"/>
          <w:lang w:val="lv-LV"/>
          <w14:ligatures w14:val="none"/>
        </w:rPr>
        <w:t>attiecas uz ražotājiem, kuri laiž tirgū attiecīgos vienreizlietojamās plastmasas izstrādājumus. Ražotāju paplašinātās atbildības sistēma ir pasākumu kopums, kuru īstenojot preces ražotājam ir finansiāla atbildība vai finansiāla un organizatoriska atbildība par savas tirgū laistās preces un iepakojuma atkritumu efektīvu apsaimniekošanu.</w:t>
      </w:r>
      <w:r w:rsidRPr="00656377">
        <w:rPr>
          <w:rFonts w:ascii="Times New Roman" w:eastAsia="Yu Mincho" w:hAnsi="Times New Roman" w:cs="Arial"/>
          <w:kern w:val="0"/>
          <w:szCs w:val="20"/>
          <w:vertAlign w:val="superscript"/>
          <w:lang w:val="lv-LV"/>
          <w14:ligatures w14:val="none"/>
        </w:rPr>
        <w:endnoteReference w:id="3"/>
      </w:r>
      <w:r w:rsidRPr="00656377">
        <w:rPr>
          <w:rFonts w:ascii="Times New Roman" w:eastAsia="Yu Mincho" w:hAnsi="Times New Roman" w:cs="Arial"/>
          <w:kern w:val="0"/>
          <w:szCs w:val="20"/>
          <w:lang w:val="lv-LV"/>
          <w14:ligatures w14:val="none"/>
        </w:rPr>
        <w:t xml:space="preserve"> Likuma ietvaros tiek noteikta RAS piemērošana mitrajām salvetēm, baloniem, tabakas izstrādājumiem, zvejas rīkiem, kā arī vairākiem vienreizlietojamās plastmasas izstrādājumiem</w:t>
      </w:r>
      <w:r w:rsidRPr="00656377">
        <w:rPr>
          <w:rFonts w:ascii="Times New Roman" w:eastAsia="Yu Mincho" w:hAnsi="Times New Roman" w:cs="Arial"/>
          <w:kern w:val="0"/>
          <w:szCs w:val="20"/>
          <w:vertAlign w:val="superscript"/>
          <w:lang w:val="lv-LV"/>
          <w14:ligatures w14:val="none"/>
        </w:rPr>
        <w:endnoteReference w:id="4"/>
      </w:r>
      <w:r w:rsidRPr="00656377">
        <w:rPr>
          <w:rFonts w:ascii="Times New Roman" w:eastAsia="Yu Mincho" w:hAnsi="Times New Roman" w:cs="Arial"/>
          <w:kern w:val="0"/>
          <w:szCs w:val="20"/>
          <w:lang w:val="lv-LV"/>
          <w14:ligatures w14:val="none"/>
        </w:rPr>
        <w:t xml:space="preserve">. RAS iepakojumam darbojās pirms Likuma stāšanās spēkā, RAS tabakas izstrādājumiem bija paredzēts piemērot no 2023. gada 5. janvāra, RAS zvejas rīkiem, mitrajām salvetēm un baloniem - no 2025. gada 1. janvāra; </w:t>
      </w:r>
    </w:p>
    <w:p w14:paraId="2A6EDE88"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kern w:val="0"/>
          <w:szCs w:val="20"/>
          <w:lang w:val="lv-LV"/>
          <w14:ligatures w14:val="none"/>
        </w:rPr>
        <w:t>Dalītās savākšanas pasākums</w:t>
      </w:r>
      <w:r w:rsidRPr="00656377">
        <w:rPr>
          <w:rFonts w:ascii="Times New Roman" w:eastAsia="Yu Mincho" w:hAnsi="Times New Roman" w:cs="Arial"/>
          <w:kern w:val="0"/>
          <w:szCs w:val="20"/>
          <w:lang w:val="lv-LV"/>
          <w14:ligatures w14:val="none"/>
        </w:rPr>
        <w:t xml:space="preserve"> paredz, ka ražotājs, kas laiž tirgū dzērienus vienreizlietojamā plastmasu saturošā vai kompozīta iepakojumā ar ietilpību līdz trim litriem (dzērienu iepakojums, tā korķīši un vāciņi), ja dzērienu iepakojums satur vismaz 30 % pārstrādātas plastmasas, nodrošina, ka šis iepakojums tiek dalīti savākts, ievērojot normatīvo aktu prasības par dabas resursu nodokli un iepakojumu, tostarp depozīta iepakojumu. Piemērošanas termiņi sakrīt ar produktu dizaina noteikumu prasībām.</w:t>
      </w:r>
    </w:p>
    <w:p w14:paraId="7A5BCA17"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Aizliegumu plastmasu saturošu izstrādājumu laišanai tirgū, patērētāja informēšana par izstrādājumiem, uz kuriem attiecas patēriņa samazināšanas prasība un ražotāja paplašinātās atbildības sistēmas piemērošana neattiecas uz iepakojumiem, kuros pārtika individuālam patēriņam tiek iepakota ražošanas līnijā un piegādāta tirdzniecības vietām ārpus ražotnes vai noliktavas.</w:t>
      </w:r>
    </w:p>
    <w:p w14:paraId="05EFBCF0" w14:textId="77777777" w:rsidR="001C58A3" w:rsidRPr="00656377" w:rsidRDefault="001C58A3">
      <w:pPr>
        <w:rPr>
          <w:lang w:val="lv-LV"/>
        </w:rPr>
      </w:pPr>
    </w:p>
    <w:sectPr w:rsidR="001C58A3" w:rsidRPr="0065637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8EB8" w14:textId="77777777" w:rsidR="00793A35" w:rsidRDefault="00793A35" w:rsidP="00A15B8B">
      <w:pPr>
        <w:spacing w:after="0" w:line="240" w:lineRule="auto"/>
      </w:pPr>
      <w:r>
        <w:separator/>
      </w:r>
    </w:p>
  </w:endnote>
  <w:endnote w:type="continuationSeparator" w:id="0">
    <w:p w14:paraId="2D071347" w14:textId="77777777" w:rsidR="00793A35" w:rsidRDefault="00793A35" w:rsidP="00A15B8B">
      <w:pPr>
        <w:spacing w:after="0" w:line="240" w:lineRule="auto"/>
      </w:pPr>
      <w:r>
        <w:continuationSeparator/>
      </w:r>
    </w:p>
  </w:endnote>
  <w:endnote w:id="1">
    <w:p w14:paraId="36495773" w14:textId="77777777" w:rsidR="00656377" w:rsidRPr="00482ADB" w:rsidRDefault="00656377" w:rsidP="00656377">
      <w:pPr>
        <w:pStyle w:val="EndnoteText"/>
        <w:contextualSpacing/>
        <w:jc w:val="both"/>
        <w:rPr>
          <w:rFonts w:ascii="Times New Roman" w:hAnsi="Times New Roman"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Plastmasu saturošu izstrādājumu patēriņa samazināšanas likums. https://likumi.lv/ta/id/323733</w:t>
      </w:r>
    </w:p>
  </w:endnote>
  <w:endnote w:id="2">
    <w:p w14:paraId="36ACB304" w14:textId="77777777" w:rsidR="00656377" w:rsidRPr="00482ADB" w:rsidRDefault="00656377" w:rsidP="00656377">
      <w:pPr>
        <w:pStyle w:val="EndnoteText"/>
        <w:contextualSpacing/>
        <w:jc w:val="both"/>
        <w:rPr>
          <w:rFonts w:ascii="Times New Roman" w:hAnsi="Times New Roman"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2025. gada 23. </w:t>
      </w:r>
      <w:r w:rsidRPr="00482ADB">
        <w:rPr>
          <w:rFonts w:ascii="Times New Roman" w:hAnsi="Times New Roman" w:cs="Times New Roman"/>
          <w:sz w:val="16"/>
          <w:szCs w:val="16"/>
        </w:rPr>
        <w:t>janvāra likums "Grozījumi Plastmasu saturošu izstrādājumu patēriņa samazināšanas li kumā". https://likumi.lv/ta/id/358475</w:t>
      </w:r>
    </w:p>
  </w:endnote>
  <w:endnote w:id="3">
    <w:p w14:paraId="1A5C6AEF" w14:textId="77777777" w:rsidR="00656377" w:rsidRPr="00482ADB" w:rsidRDefault="00656377" w:rsidP="00656377">
      <w:pPr>
        <w:pStyle w:val="EndnoteText"/>
        <w:contextualSpacing/>
        <w:jc w:val="both"/>
        <w:rPr>
          <w:rFonts w:ascii="Times New Roman" w:hAnsi="Times New Roman"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Dabas </w:t>
      </w:r>
      <w:r w:rsidRPr="00482ADB">
        <w:rPr>
          <w:rFonts w:ascii="Times New Roman" w:hAnsi="Times New Roman" w:cs="Times New Roman"/>
          <w:sz w:val="16"/>
          <w:szCs w:val="16"/>
        </w:rPr>
        <w:t>resursu nodokļa likums. https://likumi.lv/ta/id/124707</w:t>
      </w:r>
    </w:p>
  </w:endnote>
  <w:endnote w:id="4">
    <w:p w14:paraId="667F1B6D" w14:textId="77777777" w:rsidR="00656377" w:rsidRPr="00656377" w:rsidRDefault="00656377" w:rsidP="00656377">
      <w:pPr>
        <w:pStyle w:val="EndnoteText"/>
        <w:contextualSpacing/>
        <w:jc w:val="both"/>
        <w:rPr>
          <w:rFonts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w:t>
      </w:r>
      <w:r w:rsidRPr="00482ADB">
        <w:rPr>
          <w:rFonts w:ascii="Times New Roman" w:hAnsi="Times New Roman" w:cs="Times New Roman"/>
          <w:sz w:val="16"/>
          <w:szCs w:val="16"/>
        </w:rPr>
        <w:t>Pārtikas iepakojumam, paciņām un iesaiņojumam no elastīga materiāla, dzērienu iepakojumam ar ietilpību līdz trim litriem, tā korķīšiem un vāciņiem, dzērienu glāzēm un to vāciņiem, vieglās plastmasas iepirkumu maisiņiem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25FD" w14:textId="77777777" w:rsidR="00793A35" w:rsidRDefault="00793A35" w:rsidP="00A15B8B">
      <w:pPr>
        <w:spacing w:after="0" w:line="240" w:lineRule="auto"/>
      </w:pPr>
      <w:r>
        <w:separator/>
      </w:r>
    </w:p>
  </w:footnote>
  <w:footnote w:type="continuationSeparator" w:id="0">
    <w:p w14:paraId="63C889F6" w14:textId="77777777" w:rsidR="00793A35" w:rsidRDefault="00793A35" w:rsidP="00A15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25"/>
    <w:rsid w:val="00001459"/>
    <w:rsid w:val="000350B1"/>
    <w:rsid w:val="00046817"/>
    <w:rsid w:val="00046F5D"/>
    <w:rsid w:val="00050D17"/>
    <w:rsid w:val="00064546"/>
    <w:rsid w:val="000715B4"/>
    <w:rsid w:val="00073C04"/>
    <w:rsid w:val="000925FE"/>
    <w:rsid w:val="000A4C12"/>
    <w:rsid w:val="000C50BB"/>
    <w:rsid w:val="000E5BA9"/>
    <w:rsid w:val="000F351D"/>
    <w:rsid w:val="00150084"/>
    <w:rsid w:val="0015515D"/>
    <w:rsid w:val="001925DF"/>
    <w:rsid w:val="001C58A3"/>
    <w:rsid w:val="001D0CBE"/>
    <w:rsid w:val="001D2AD8"/>
    <w:rsid w:val="001F6CD7"/>
    <w:rsid w:val="00214920"/>
    <w:rsid w:val="00234BE1"/>
    <w:rsid w:val="002408C2"/>
    <w:rsid w:val="002551D1"/>
    <w:rsid w:val="002876DF"/>
    <w:rsid w:val="002A565A"/>
    <w:rsid w:val="002B2609"/>
    <w:rsid w:val="002B4887"/>
    <w:rsid w:val="002E588C"/>
    <w:rsid w:val="002F5F57"/>
    <w:rsid w:val="0030308C"/>
    <w:rsid w:val="00331642"/>
    <w:rsid w:val="003370BD"/>
    <w:rsid w:val="00346A47"/>
    <w:rsid w:val="003D0B33"/>
    <w:rsid w:val="003E3F1D"/>
    <w:rsid w:val="00404837"/>
    <w:rsid w:val="004169A4"/>
    <w:rsid w:val="00445A29"/>
    <w:rsid w:val="004501BB"/>
    <w:rsid w:val="00454B7D"/>
    <w:rsid w:val="00461CDE"/>
    <w:rsid w:val="00482ADB"/>
    <w:rsid w:val="00486467"/>
    <w:rsid w:val="00493AEE"/>
    <w:rsid w:val="004B2B26"/>
    <w:rsid w:val="004B2BAD"/>
    <w:rsid w:val="004D4D70"/>
    <w:rsid w:val="004E3C56"/>
    <w:rsid w:val="004E7408"/>
    <w:rsid w:val="00501B3D"/>
    <w:rsid w:val="00530D9E"/>
    <w:rsid w:val="00542EFD"/>
    <w:rsid w:val="005A53A6"/>
    <w:rsid w:val="005B37F2"/>
    <w:rsid w:val="005E1FA7"/>
    <w:rsid w:val="005E4003"/>
    <w:rsid w:val="005E4CBC"/>
    <w:rsid w:val="005F5B46"/>
    <w:rsid w:val="005F6F2E"/>
    <w:rsid w:val="006153C8"/>
    <w:rsid w:val="00627E79"/>
    <w:rsid w:val="00656377"/>
    <w:rsid w:val="00675A1F"/>
    <w:rsid w:val="006857DA"/>
    <w:rsid w:val="006F0DC3"/>
    <w:rsid w:val="006F2706"/>
    <w:rsid w:val="00716197"/>
    <w:rsid w:val="00733739"/>
    <w:rsid w:val="00793A35"/>
    <w:rsid w:val="007A616D"/>
    <w:rsid w:val="007C221E"/>
    <w:rsid w:val="00801751"/>
    <w:rsid w:val="008429C9"/>
    <w:rsid w:val="00884BD9"/>
    <w:rsid w:val="008B6B72"/>
    <w:rsid w:val="008C3427"/>
    <w:rsid w:val="008E148F"/>
    <w:rsid w:val="008E52CE"/>
    <w:rsid w:val="008F1D49"/>
    <w:rsid w:val="00971B21"/>
    <w:rsid w:val="009A3654"/>
    <w:rsid w:val="009A4ADE"/>
    <w:rsid w:val="009A6B62"/>
    <w:rsid w:val="009D7BFD"/>
    <w:rsid w:val="009E040E"/>
    <w:rsid w:val="009F1AB0"/>
    <w:rsid w:val="009F45F7"/>
    <w:rsid w:val="00A15B8B"/>
    <w:rsid w:val="00A51648"/>
    <w:rsid w:val="00A74F32"/>
    <w:rsid w:val="00A912D5"/>
    <w:rsid w:val="00AA0356"/>
    <w:rsid w:val="00AA7A89"/>
    <w:rsid w:val="00AB6A6A"/>
    <w:rsid w:val="00AE584A"/>
    <w:rsid w:val="00AF2755"/>
    <w:rsid w:val="00B1669B"/>
    <w:rsid w:val="00B228C9"/>
    <w:rsid w:val="00B46D8F"/>
    <w:rsid w:val="00B637F3"/>
    <w:rsid w:val="00BF77F4"/>
    <w:rsid w:val="00C271DC"/>
    <w:rsid w:val="00C613E8"/>
    <w:rsid w:val="00C76516"/>
    <w:rsid w:val="00C96FBC"/>
    <w:rsid w:val="00CF3DFE"/>
    <w:rsid w:val="00D26858"/>
    <w:rsid w:val="00D7069E"/>
    <w:rsid w:val="00DA70D8"/>
    <w:rsid w:val="00DD537E"/>
    <w:rsid w:val="00DF76B4"/>
    <w:rsid w:val="00E07E96"/>
    <w:rsid w:val="00E11BE5"/>
    <w:rsid w:val="00E61AF4"/>
    <w:rsid w:val="00E826F1"/>
    <w:rsid w:val="00ED2FD6"/>
    <w:rsid w:val="00EE7A31"/>
    <w:rsid w:val="00F17DEA"/>
    <w:rsid w:val="00F34853"/>
    <w:rsid w:val="00F44C6B"/>
    <w:rsid w:val="00F577FC"/>
    <w:rsid w:val="00F60851"/>
    <w:rsid w:val="00F802E9"/>
    <w:rsid w:val="00F90C19"/>
    <w:rsid w:val="00FC6945"/>
    <w:rsid w:val="00FE6051"/>
    <w:rsid w:val="00FF2727"/>
    <w:rsid w:val="00FF2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EC6C"/>
  <w15:chartTrackingRefBased/>
  <w15:docId w15:val="{9E01E797-A60F-4175-864E-B018465F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C25"/>
    <w:rPr>
      <w:rFonts w:eastAsiaTheme="majorEastAsia" w:cstheme="majorBidi"/>
      <w:color w:val="272727" w:themeColor="text1" w:themeTint="D8"/>
    </w:rPr>
  </w:style>
  <w:style w:type="paragraph" w:styleId="Title">
    <w:name w:val="Title"/>
    <w:basedOn w:val="Normal"/>
    <w:next w:val="Normal"/>
    <w:link w:val="TitleChar"/>
    <w:uiPriority w:val="10"/>
    <w:qFormat/>
    <w:rsid w:val="00FF2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C25"/>
    <w:pPr>
      <w:spacing w:before="160"/>
      <w:jc w:val="center"/>
    </w:pPr>
    <w:rPr>
      <w:i/>
      <w:iCs/>
      <w:color w:val="404040" w:themeColor="text1" w:themeTint="BF"/>
    </w:rPr>
  </w:style>
  <w:style w:type="character" w:customStyle="1" w:styleId="QuoteChar">
    <w:name w:val="Quote Char"/>
    <w:basedOn w:val="DefaultParagraphFont"/>
    <w:link w:val="Quote"/>
    <w:uiPriority w:val="29"/>
    <w:rsid w:val="00FF2C25"/>
    <w:rPr>
      <w:i/>
      <w:iCs/>
      <w:color w:val="404040" w:themeColor="text1" w:themeTint="BF"/>
    </w:rPr>
  </w:style>
  <w:style w:type="paragraph" w:styleId="ListParagraph">
    <w:name w:val="List Paragraph"/>
    <w:basedOn w:val="Normal"/>
    <w:uiPriority w:val="34"/>
    <w:qFormat/>
    <w:rsid w:val="00FF2C25"/>
    <w:pPr>
      <w:ind w:left="720"/>
      <w:contextualSpacing/>
    </w:pPr>
  </w:style>
  <w:style w:type="character" w:styleId="IntenseEmphasis">
    <w:name w:val="Intense Emphasis"/>
    <w:basedOn w:val="DefaultParagraphFont"/>
    <w:uiPriority w:val="21"/>
    <w:qFormat/>
    <w:rsid w:val="00FF2C25"/>
    <w:rPr>
      <w:i/>
      <w:iCs/>
      <w:color w:val="0F4761" w:themeColor="accent1" w:themeShade="BF"/>
    </w:rPr>
  </w:style>
  <w:style w:type="paragraph" w:styleId="IntenseQuote">
    <w:name w:val="Intense Quote"/>
    <w:basedOn w:val="Normal"/>
    <w:next w:val="Normal"/>
    <w:link w:val="IntenseQuoteChar"/>
    <w:uiPriority w:val="30"/>
    <w:qFormat/>
    <w:rsid w:val="00FF2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C25"/>
    <w:rPr>
      <w:i/>
      <w:iCs/>
      <w:color w:val="0F4761" w:themeColor="accent1" w:themeShade="BF"/>
    </w:rPr>
  </w:style>
  <w:style w:type="character" w:styleId="IntenseReference">
    <w:name w:val="Intense Reference"/>
    <w:basedOn w:val="DefaultParagraphFont"/>
    <w:uiPriority w:val="32"/>
    <w:qFormat/>
    <w:rsid w:val="00FF2C25"/>
    <w:rPr>
      <w:b/>
      <w:bCs/>
      <w:smallCaps/>
      <w:color w:val="0F4761" w:themeColor="accent1" w:themeShade="BF"/>
      <w:spacing w:val="5"/>
    </w:rPr>
  </w:style>
  <w:style w:type="paragraph" w:styleId="EndnoteText">
    <w:name w:val="endnote text"/>
    <w:basedOn w:val="Normal"/>
    <w:link w:val="EndnoteTextChar"/>
    <w:uiPriority w:val="99"/>
    <w:semiHidden/>
    <w:unhideWhenUsed/>
    <w:rsid w:val="006563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377"/>
    <w:rPr>
      <w:sz w:val="20"/>
      <w:szCs w:val="20"/>
    </w:rPr>
  </w:style>
  <w:style w:type="character" w:customStyle="1" w:styleId="EndnoteCharacters">
    <w:name w:val="Endnote Characters"/>
    <w:qFormat/>
    <w:rsid w:val="00656377"/>
    <w:rPr>
      <w:vertAlign w:val="superscript"/>
    </w:rPr>
  </w:style>
  <w:style w:type="paragraph" w:styleId="FootnoteText">
    <w:name w:val="footnote text"/>
    <w:basedOn w:val="Normal"/>
    <w:link w:val="FootnoteTextChar"/>
    <w:uiPriority w:val="99"/>
    <w:semiHidden/>
    <w:unhideWhenUsed/>
    <w:rsid w:val="00C27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1DC"/>
    <w:rPr>
      <w:sz w:val="20"/>
      <w:szCs w:val="20"/>
    </w:rPr>
  </w:style>
  <w:style w:type="character" w:styleId="FootnoteReference">
    <w:name w:val="footnote reference"/>
    <w:basedOn w:val="DefaultParagraphFont"/>
    <w:uiPriority w:val="99"/>
    <w:semiHidden/>
    <w:unhideWhenUsed/>
    <w:rsid w:val="00C27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AE7F-D986-4912-B59B-2D94CA90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4447</Words>
  <Characters>2536</Characters>
  <Application>Microsoft Office Word</Application>
  <DocSecurity>4</DocSecurity>
  <Lines>21</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Sanita Kalnača</cp:lastModifiedBy>
  <cp:revision>2</cp:revision>
  <dcterms:created xsi:type="dcterms:W3CDTF">2025-06-27T10:21:00Z</dcterms:created>
  <dcterms:modified xsi:type="dcterms:W3CDTF">2025-06-27T10:21:00Z</dcterms:modified>
</cp:coreProperties>
</file>