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8" w:type="dxa"/>
        <w:jc w:val="center"/>
        <w:tblCellMar>
          <w:top w:w="24" w:type="dxa"/>
          <w:left w:w="24" w:type="dxa"/>
          <w:bottom w:w="24" w:type="dxa"/>
          <w:right w:w="24" w:type="dxa"/>
        </w:tblCellMar>
        <w:tblLook w:val="04A0" w:firstRow="1" w:lastRow="0" w:firstColumn="1" w:lastColumn="0" w:noHBand="0" w:noVBand="1"/>
      </w:tblPr>
      <w:tblGrid>
        <w:gridCol w:w="8"/>
        <w:gridCol w:w="540"/>
        <w:gridCol w:w="2063"/>
        <w:gridCol w:w="933"/>
        <w:gridCol w:w="1677"/>
        <w:gridCol w:w="3787"/>
      </w:tblGrid>
      <w:tr w:rsidR="00FB60BB" w:rsidRPr="007A7F24" w14:paraId="04F5984B" w14:textId="77777777" w:rsidTr="00E147B3">
        <w:trPr>
          <w:gridAfter w:val="1"/>
          <w:wAfter w:w="2102" w:type="pct"/>
          <w:jc w:val="center"/>
        </w:trPr>
        <w:tc>
          <w:tcPr>
            <w:tcW w:w="1449" w:type="pct"/>
            <w:gridSpan w:val="3"/>
            <w:tcBorders>
              <w:top w:val="nil"/>
              <w:left w:val="nil"/>
              <w:bottom w:val="nil"/>
              <w:right w:val="nil"/>
            </w:tcBorders>
            <w:hideMark/>
          </w:tcPr>
          <w:p w14:paraId="45D9E069" w14:textId="77777777" w:rsidR="00FB60BB" w:rsidRPr="00E147B3" w:rsidRDefault="00FB60BB" w:rsidP="00FB60BB">
            <w:pPr>
              <w:widowControl/>
              <w:spacing w:before="100" w:beforeAutospacing="1" w:line="293" w:lineRule="atLeast"/>
              <w:jc w:val="right"/>
              <w:rPr>
                <w:rFonts w:eastAsia="Times New Roman"/>
                <w:color w:val="414142"/>
                <w:sz w:val="20"/>
                <w:szCs w:val="20"/>
                <w:lang w:val="lv-LV" w:eastAsia="lv-LV"/>
              </w:rPr>
            </w:pPr>
            <w:r w:rsidRPr="00E147B3">
              <w:rPr>
                <w:rFonts w:eastAsia="Times New Roman"/>
                <w:b/>
                <w:bCs/>
                <w:color w:val="414142"/>
                <w:sz w:val="20"/>
                <w:szCs w:val="20"/>
                <w:lang w:val="lv-LV" w:eastAsia="lv-LV"/>
              </w:rPr>
              <w:t>Anotācija pētījumam</w:t>
            </w:r>
          </w:p>
        </w:tc>
        <w:tc>
          <w:tcPr>
            <w:tcW w:w="1449" w:type="pct"/>
            <w:gridSpan w:val="2"/>
            <w:tcBorders>
              <w:top w:val="nil"/>
              <w:left w:val="nil"/>
              <w:bottom w:val="single" w:sz="6" w:space="0" w:color="414142"/>
              <w:right w:val="nil"/>
            </w:tcBorders>
            <w:hideMark/>
          </w:tcPr>
          <w:p w14:paraId="5282F4C9" w14:textId="5B382EC0" w:rsidR="00FB60BB" w:rsidRPr="00E147B3" w:rsidRDefault="00FB60BB" w:rsidP="00FB60BB">
            <w:pPr>
              <w:widowControl/>
              <w:spacing w:before="195"/>
              <w:jc w:val="left"/>
              <w:rPr>
                <w:rFonts w:eastAsia="Times New Roman"/>
                <w:color w:val="414142"/>
                <w:sz w:val="20"/>
                <w:szCs w:val="20"/>
                <w:lang w:val="lv-LV" w:eastAsia="lv-LV"/>
              </w:rPr>
            </w:pPr>
            <w:r w:rsidRPr="00E147B3">
              <w:rPr>
                <w:rFonts w:eastAsia="Times New Roman"/>
                <w:color w:val="414142"/>
                <w:sz w:val="20"/>
                <w:szCs w:val="20"/>
                <w:lang w:val="lv-LV" w:eastAsia="lv-LV"/>
              </w:rPr>
              <w:t> </w:t>
            </w:r>
            <w:r w:rsidR="00710F44" w:rsidRPr="00E147B3">
              <w:rPr>
                <w:rFonts w:eastAsia="Times New Roman"/>
                <w:color w:val="414142"/>
                <w:sz w:val="20"/>
                <w:szCs w:val="20"/>
                <w:lang w:val="lv-LV" w:eastAsia="lv-LV"/>
              </w:rPr>
              <w:t>Pētījums par starptautisko pieredzi integritātes paktu ieviešanā</w:t>
            </w:r>
          </w:p>
        </w:tc>
      </w:tr>
      <w:tr w:rsidR="00FB60BB" w:rsidRPr="00E147B3" w14:paraId="21AA0F88" w14:textId="77777777" w:rsidTr="00E147B3">
        <w:trPr>
          <w:gridAfter w:val="1"/>
          <w:wAfter w:w="2102" w:type="pct"/>
          <w:jc w:val="center"/>
        </w:trPr>
        <w:tc>
          <w:tcPr>
            <w:tcW w:w="1449" w:type="pct"/>
            <w:gridSpan w:val="3"/>
            <w:tcBorders>
              <w:top w:val="nil"/>
              <w:left w:val="nil"/>
              <w:bottom w:val="nil"/>
              <w:right w:val="nil"/>
            </w:tcBorders>
            <w:hideMark/>
          </w:tcPr>
          <w:p w14:paraId="5CE01D7B" w14:textId="77777777" w:rsidR="00FB60BB" w:rsidRPr="00E147B3" w:rsidRDefault="00FB60BB" w:rsidP="00FB60BB">
            <w:pPr>
              <w:widowControl/>
              <w:spacing w:before="195"/>
              <w:jc w:val="left"/>
              <w:rPr>
                <w:rFonts w:eastAsia="Times New Roman"/>
                <w:color w:val="414142"/>
                <w:sz w:val="20"/>
                <w:szCs w:val="20"/>
                <w:lang w:val="lv-LV" w:eastAsia="lv-LV"/>
              </w:rPr>
            </w:pPr>
            <w:r w:rsidRPr="00E147B3">
              <w:rPr>
                <w:rFonts w:eastAsia="Times New Roman"/>
                <w:color w:val="414142"/>
                <w:sz w:val="20"/>
                <w:szCs w:val="20"/>
                <w:lang w:val="lv-LV" w:eastAsia="lv-LV"/>
              </w:rPr>
              <w:t> </w:t>
            </w:r>
          </w:p>
        </w:tc>
        <w:tc>
          <w:tcPr>
            <w:tcW w:w="1449" w:type="pct"/>
            <w:gridSpan w:val="2"/>
            <w:tcBorders>
              <w:top w:val="single" w:sz="6" w:space="0" w:color="414142"/>
              <w:left w:val="nil"/>
              <w:bottom w:val="nil"/>
              <w:right w:val="nil"/>
            </w:tcBorders>
            <w:hideMark/>
          </w:tcPr>
          <w:p w14:paraId="1CD7E648" w14:textId="77777777" w:rsidR="00FB60BB" w:rsidRPr="00E147B3" w:rsidRDefault="00FB60BB" w:rsidP="00FB60BB">
            <w:pPr>
              <w:widowControl/>
              <w:spacing w:before="100" w:beforeAutospacing="1" w:line="293" w:lineRule="atLeast"/>
              <w:jc w:val="center"/>
              <w:rPr>
                <w:rFonts w:eastAsia="Times New Roman"/>
                <w:color w:val="414142"/>
                <w:sz w:val="20"/>
                <w:szCs w:val="20"/>
                <w:lang w:val="lv-LV" w:eastAsia="lv-LV"/>
              </w:rPr>
            </w:pPr>
            <w:r w:rsidRPr="00E147B3">
              <w:rPr>
                <w:rFonts w:eastAsia="Times New Roman"/>
                <w:color w:val="414142"/>
                <w:sz w:val="20"/>
                <w:szCs w:val="20"/>
                <w:lang w:val="lv-LV" w:eastAsia="lv-LV"/>
              </w:rPr>
              <w:t>(pētījuma nosaukums)</w:t>
            </w:r>
          </w:p>
        </w:tc>
      </w:tr>
      <w:tr w:rsidR="00FB60BB" w:rsidRPr="007A7F24" w14:paraId="2FFD72CC"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242D319" w14:textId="2CBB3B65" w:rsidR="00FB60BB" w:rsidRPr="00E147B3" w:rsidRDefault="00FB60BB" w:rsidP="004A00A6">
            <w:pPr>
              <w:widowControl/>
              <w:spacing w:before="100" w:beforeAutospacing="1" w:line="293" w:lineRule="atLeast"/>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mērķis, uzdevumi un galvenie rezultāti latviešu valodā</w:t>
            </w:r>
            <w:r w:rsidRPr="00E147B3">
              <w:rPr>
                <w:rFonts w:ascii="Arial" w:eastAsia="Times New Roman" w:hAnsi="Arial" w:cs="Arial"/>
                <w:color w:val="414142"/>
                <w:sz w:val="20"/>
                <w:szCs w:val="20"/>
                <w:lang w:val="lv-LV" w:eastAsia="lv-LV"/>
              </w:rPr>
              <w:t> (brīvā tekstā, aptuveni 150 vārdu)</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17C13F" w14:textId="2E286530" w:rsidR="00710F44" w:rsidRPr="00E147B3" w:rsidRDefault="00710F44" w:rsidP="00E147B3">
            <w:pPr>
              <w:spacing w:after="60"/>
              <w:rPr>
                <w:color w:val="414142"/>
                <w:szCs w:val="24"/>
                <w:lang w:val="lv-LV"/>
              </w:rPr>
            </w:pPr>
            <w:r w:rsidRPr="00E147B3">
              <w:rPr>
                <w:color w:val="414142"/>
                <w:szCs w:val="24"/>
                <w:u w:val="single"/>
                <w:lang w:val="lv-LV"/>
              </w:rPr>
              <w:t>Pētījuma mērķis:</w:t>
            </w:r>
            <w:r w:rsidRPr="00E147B3">
              <w:rPr>
                <w:color w:val="414142"/>
                <w:szCs w:val="24"/>
                <w:lang w:val="lv-LV"/>
              </w:rPr>
              <w:t xml:space="preserve"> veikt Latvijas un starptautisko izpēti par pieredzi integritātes paktu ieviešanā un sabiedrības uzraudzības mehānismiem, apkopojot labās prakses piemērus un pieredzes stāstus.</w:t>
            </w:r>
          </w:p>
          <w:p w14:paraId="235D6BA0" w14:textId="2FB023C7" w:rsidR="00710F44" w:rsidRPr="00710F44" w:rsidRDefault="00710F44" w:rsidP="00E147B3">
            <w:pPr>
              <w:widowControl/>
              <w:spacing w:after="60"/>
              <w:rPr>
                <w:rFonts w:eastAsia="Times New Roman"/>
                <w:color w:val="414142"/>
                <w:szCs w:val="24"/>
                <w:u w:val="single"/>
                <w:lang w:val="lv-LV" w:eastAsia="lv-LV"/>
              </w:rPr>
            </w:pPr>
            <w:r w:rsidRPr="00710F44">
              <w:rPr>
                <w:rFonts w:eastAsia="Times New Roman"/>
                <w:color w:val="414142"/>
                <w:szCs w:val="24"/>
                <w:u w:val="single"/>
                <w:lang w:val="lv-LV" w:eastAsia="lv-LV"/>
              </w:rPr>
              <w:t>Pētījuma uzdevum</w:t>
            </w:r>
            <w:r w:rsidRPr="00E147B3">
              <w:rPr>
                <w:rFonts w:eastAsia="Times New Roman"/>
                <w:color w:val="414142"/>
                <w:szCs w:val="24"/>
                <w:u w:val="single"/>
                <w:lang w:val="lv-LV" w:eastAsia="lv-LV"/>
              </w:rPr>
              <w:t>i</w:t>
            </w:r>
            <w:r w:rsidRPr="00710F44">
              <w:rPr>
                <w:rFonts w:eastAsia="Times New Roman"/>
                <w:color w:val="414142"/>
                <w:szCs w:val="24"/>
                <w:u w:val="single"/>
                <w:lang w:val="lv-LV" w:eastAsia="lv-LV"/>
              </w:rPr>
              <w:t xml:space="preserve">: </w:t>
            </w:r>
          </w:p>
          <w:p w14:paraId="51F69584" w14:textId="77777777" w:rsidR="00710F44" w:rsidRPr="00710F44" w:rsidRDefault="00710F44" w:rsidP="00E147B3">
            <w:pPr>
              <w:widowControl/>
              <w:numPr>
                <w:ilvl w:val="0"/>
                <w:numId w:val="4"/>
              </w:numPr>
              <w:spacing w:after="60"/>
              <w:rPr>
                <w:rFonts w:eastAsia="Times New Roman"/>
                <w:color w:val="414142"/>
                <w:szCs w:val="24"/>
                <w:lang w:val="lv-LV" w:eastAsia="lv-LV"/>
              </w:rPr>
            </w:pPr>
            <w:r w:rsidRPr="00710F44">
              <w:rPr>
                <w:rFonts w:eastAsia="Times New Roman"/>
                <w:color w:val="414142"/>
                <w:szCs w:val="24"/>
                <w:lang w:val="lv-LV" w:eastAsia="lv-LV"/>
              </w:rPr>
              <w:t>izveidot stabilu zināšanu un pieredzes bāzi par integritātes paktu ieviešanu Latvijā un citās valstīs;</w:t>
            </w:r>
          </w:p>
          <w:p w14:paraId="7BD2D239" w14:textId="77777777" w:rsidR="00710F44" w:rsidRPr="00710F44" w:rsidRDefault="00710F44" w:rsidP="00E147B3">
            <w:pPr>
              <w:widowControl/>
              <w:numPr>
                <w:ilvl w:val="0"/>
                <w:numId w:val="4"/>
              </w:numPr>
              <w:spacing w:after="60"/>
              <w:rPr>
                <w:rFonts w:eastAsia="Times New Roman"/>
                <w:color w:val="414142"/>
                <w:szCs w:val="24"/>
                <w:lang w:val="lv-LV" w:eastAsia="lv-LV"/>
              </w:rPr>
            </w:pPr>
            <w:r w:rsidRPr="00710F44">
              <w:rPr>
                <w:rFonts w:eastAsia="Times New Roman"/>
                <w:color w:val="414142"/>
                <w:szCs w:val="24"/>
                <w:lang w:val="lv-LV" w:eastAsia="lv-LV"/>
              </w:rPr>
              <w:t>analizēt iespējas adaptēt integritātes paktu Latvijas apstākļiem, sniegt izvērtējumu par ieguvumiem un riskiem no šāda rīka izmantošanas, publisko iepirkumu un publiskā sektora investīciju specifiku Latvijā un kā šajos procesos integrēt integritātes paktu.</w:t>
            </w:r>
          </w:p>
          <w:p w14:paraId="5D98BF18" w14:textId="6749E214" w:rsidR="00710F44" w:rsidRPr="00710F44" w:rsidRDefault="00710F44" w:rsidP="00E147B3">
            <w:pPr>
              <w:widowControl/>
              <w:spacing w:after="60"/>
              <w:rPr>
                <w:rFonts w:eastAsia="Times New Roman"/>
                <w:color w:val="414142"/>
                <w:szCs w:val="24"/>
                <w:lang w:val="lv-LV" w:eastAsia="lv-LV"/>
              </w:rPr>
            </w:pPr>
            <w:r w:rsidRPr="00E147B3">
              <w:rPr>
                <w:rFonts w:eastAsia="Times New Roman"/>
                <w:color w:val="414142"/>
                <w:szCs w:val="24"/>
                <w:u w:val="single"/>
                <w:lang w:val="lv-LV" w:eastAsia="lv-LV"/>
              </w:rPr>
              <w:t>P</w:t>
            </w:r>
            <w:r w:rsidRPr="00710F44">
              <w:rPr>
                <w:rFonts w:eastAsia="Times New Roman"/>
                <w:color w:val="414142"/>
                <w:szCs w:val="24"/>
                <w:u w:val="single"/>
                <w:lang w:val="lv-LV" w:eastAsia="lv-LV"/>
              </w:rPr>
              <w:t xml:space="preserve">ētījuma rezultāti: </w:t>
            </w:r>
            <w:r w:rsidRPr="00710F44">
              <w:rPr>
                <w:rFonts w:eastAsia="Times New Roman"/>
                <w:color w:val="414142"/>
                <w:szCs w:val="24"/>
                <w:lang w:val="lv-LV" w:eastAsia="lv-LV"/>
              </w:rPr>
              <w:t>izveidota stabila zināšanu un pieredzes bāze par integritātes paktu ieviešanu, lai izstrādātu integritātes paktu ieviešanas standartu Latvijā.</w:t>
            </w:r>
          </w:p>
          <w:p w14:paraId="18A93FB3" w14:textId="61D7DCC6" w:rsidR="00FB60BB" w:rsidRPr="00E147B3" w:rsidRDefault="00FB60BB" w:rsidP="00E147B3">
            <w:pPr>
              <w:widowControl/>
              <w:spacing w:after="60"/>
              <w:rPr>
                <w:rFonts w:eastAsia="Times New Roman"/>
                <w:color w:val="414142"/>
                <w:szCs w:val="24"/>
                <w:lang w:val="lv-LV" w:eastAsia="lv-LV"/>
              </w:rPr>
            </w:pPr>
          </w:p>
        </w:tc>
      </w:tr>
      <w:tr w:rsidR="00FB60BB" w:rsidRPr="007A7F24" w14:paraId="5AD6EC43"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929BB80"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Galvenās pētījuma tēmas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0AEA9A" w14:textId="2E23D6B7" w:rsidR="00FB60BB" w:rsidRPr="00E147B3" w:rsidRDefault="00710F44" w:rsidP="00E147B3">
            <w:pPr>
              <w:widowControl/>
              <w:spacing w:after="60"/>
              <w:rPr>
                <w:rFonts w:eastAsia="Times New Roman"/>
                <w:color w:val="414142"/>
                <w:szCs w:val="24"/>
                <w:lang w:val="lv-LV" w:eastAsia="lv-LV"/>
              </w:rPr>
            </w:pPr>
            <w:r w:rsidRPr="00E147B3">
              <w:rPr>
                <w:color w:val="414142"/>
                <w:szCs w:val="24"/>
                <w:lang w:val="lv-LV"/>
              </w:rPr>
              <w:t>Integritātes paktu ieviešanas pieredze Latvijā un citās valstīs</w:t>
            </w:r>
          </w:p>
        </w:tc>
      </w:tr>
      <w:tr w:rsidR="00FB60BB" w:rsidRPr="00E147B3" w14:paraId="7B5D38FF"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232A9C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pasūtītājs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A7C5D4" w14:textId="16C0243F" w:rsidR="00FB60BB" w:rsidRPr="00E147B3" w:rsidRDefault="00FB60BB"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Valsts kanceleja</w:t>
            </w:r>
          </w:p>
        </w:tc>
      </w:tr>
      <w:tr w:rsidR="00FB60BB" w:rsidRPr="007A7F24" w14:paraId="12B557EC"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2607D75"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īstenotājs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B9BDDC" w14:textId="33EA5372" w:rsidR="00FB60BB" w:rsidRPr="00E147B3" w:rsidRDefault="00FB60BB"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Personu apvienība SIA “SAFEGE BALTIJA”, biedrība “Sabiedriskās politikas centrs PROVIDUS” un biedrība “Sabiedrība par atklātību – Delna”</w:t>
            </w:r>
          </w:p>
        </w:tc>
      </w:tr>
      <w:tr w:rsidR="00FB60BB" w:rsidRPr="00E147B3" w14:paraId="50BC4B1F"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1FAB8A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īstenošanas gads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8A8FD3" w14:textId="3A4C019D" w:rsidR="00FB60BB" w:rsidRPr="00E147B3" w:rsidRDefault="00FB60BB"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2024-2025</w:t>
            </w:r>
          </w:p>
        </w:tc>
      </w:tr>
      <w:tr w:rsidR="00FB60BB" w:rsidRPr="007A7F24" w14:paraId="0DE86D78"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29ACA50"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finansēšanas summa un finansēšanas avots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B9FF34" w14:textId="77777777" w:rsidR="00FB60BB" w:rsidRPr="00E147B3" w:rsidRDefault="00FB60BB"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50 700,00 EUR bez PVN, 61 347,00 EUR ar PVN</w:t>
            </w:r>
          </w:p>
          <w:p w14:paraId="67504809" w14:textId="642744C4" w:rsidR="00710F44" w:rsidRPr="00E147B3" w:rsidRDefault="00710F44" w:rsidP="00E147B3">
            <w:pPr>
              <w:widowControl/>
              <w:spacing w:after="60"/>
              <w:rPr>
                <w:rFonts w:eastAsia="Times New Roman"/>
                <w:color w:val="414142"/>
                <w:szCs w:val="24"/>
                <w:lang w:val="lv-LV" w:eastAsia="lv-LV"/>
              </w:rPr>
            </w:pPr>
            <w:r w:rsidRPr="00E147B3">
              <w:rPr>
                <w:szCs w:val="24"/>
                <w:lang w:val="lv-LV"/>
              </w:rPr>
              <w:t>Administratīvās kapacitātes ceļa karte 2021-2027 (85% ESF+ finansējums, 15 % valsts budžeta finansējums)</w:t>
            </w:r>
          </w:p>
        </w:tc>
      </w:tr>
      <w:tr w:rsidR="00FB60BB" w:rsidRPr="00E147B3" w14:paraId="3301A4D3"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8BC5329"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klasifikācija*</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F1912" w14:textId="68324818" w:rsidR="00FB60BB" w:rsidRPr="00E147B3" w:rsidRDefault="00FB60BB"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12.2.</w:t>
            </w:r>
            <w:r w:rsidR="00817094" w:rsidRPr="00E147B3">
              <w:rPr>
                <w:rFonts w:eastAsia="Times New Roman"/>
                <w:color w:val="414142"/>
                <w:szCs w:val="24"/>
                <w:lang w:val="lv-LV" w:eastAsia="lv-LV"/>
              </w:rPr>
              <w:t xml:space="preserve"> -</w:t>
            </w:r>
            <w:r w:rsidR="00710F44" w:rsidRPr="00E147B3">
              <w:rPr>
                <w:szCs w:val="24"/>
                <w:lang w:val="lv-LV"/>
              </w:rPr>
              <w:t xml:space="preserve"> </w:t>
            </w:r>
            <w:r w:rsidR="00710F44" w:rsidRPr="00E147B3">
              <w:rPr>
                <w:rFonts w:eastAsia="Times New Roman"/>
                <w:color w:val="414142"/>
                <w:szCs w:val="24"/>
                <w:lang w:val="lv-LV" w:eastAsia="lv-LV"/>
              </w:rPr>
              <w:t>padziļinātas ekspertīzes pētījums</w:t>
            </w:r>
          </w:p>
        </w:tc>
      </w:tr>
      <w:tr w:rsidR="00FB60BB" w:rsidRPr="007A7F24" w14:paraId="41F293D2"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11D11F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ģeogrāfiskais aptvērums</w:t>
            </w:r>
            <w:r w:rsidRPr="00E147B3">
              <w:rPr>
                <w:rFonts w:ascii="Arial" w:eastAsia="Times New Roman" w:hAnsi="Arial" w:cs="Arial"/>
                <w:color w:val="414142"/>
                <w:sz w:val="20"/>
                <w:szCs w:val="20"/>
                <w:lang w:val="lv-LV" w:eastAsia="lv-LV"/>
              </w:rPr>
              <w:br/>
              <w:t>(visa Latvija vai noteikts reģions/novads)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46E601" w14:textId="2098243B" w:rsidR="00FB60BB" w:rsidRPr="00E147B3" w:rsidRDefault="00817094"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Latvija, trīs Austrumeiropas valstis (Bulgārija, Čehija un Rumānija), divas Eiropas valstis, kuras iestājās ES pirms 2004. gada (Itālija un Portugāle), divas Skandināvijas valstis (Norvēģija un Somija).</w:t>
            </w:r>
          </w:p>
        </w:tc>
      </w:tr>
      <w:tr w:rsidR="00FB60BB" w:rsidRPr="007A7F24" w14:paraId="3B3A21D3"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21DC8DE"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mērķa grupa/-as</w:t>
            </w:r>
            <w:r w:rsidRPr="00E147B3">
              <w:rPr>
                <w:rFonts w:ascii="Arial" w:eastAsia="Times New Roman" w:hAnsi="Arial" w:cs="Arial"/>
                <w:color w:val="414142"/>
                <w:sz w:val="20"/>
                <w:szCs w:val="20"/>
                <w:lang w:val="lv-LV" w:eastAsia="lv-LV"/>
              </w:rPr>
              <w:br/>
              <w:t>(piemēram, Latvijas iedzīvotāji darbspējas vecumā)</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AF9D81" w14:textId="093755DE" w:rsidR="00FB60BB" w:rsidRPr="00E147B3" w:rsidRDefault="00817094" w:rsidP="00E147B3">
            <w:pPr>
              <w:widowControl/>
              <w:spacing w:after="60"/>
              <w:rPr>
                <w:rFonts w:eastAsia="Times New Roman"/>
                <w:color w:val="414142"/>
                <w:szCs w:val="24"/>
                <w:lang w:val="lv-LV" w:eastAsia="lv-LV"/>
              </w:rPr>
            </w:pPr>
            <w:r w:rsidRPr="00E147B3">
              <w:rPr>
                <w:rFonts w:eastAsia="Times New Roman"/>
                <w:color w:val="414142"/>
                <w:szCs w:val="24"/>
                <w:lang w:val="lv-LV" w:eastAsia="lv-LV"/>
              </w:rPr>
              <w:t xml:space="preserve">Valstis, kurām ir pieredze integritātes paktu vai citu sabiedrības uzraudzības mehānismu ieviešanā. </w:t>
            </w:r>
          </w:p>
        </w:tc>
      </w:tr>
      <w:tr w:rsidR="00FB60BB" w:rsidRPr="007A7F24" w14:paraId="102576E9"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0306BD3"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Pētījumā izmantotās metodes atbilstoši informācijas ieguves veidam:</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A56521" w14:textId="77777777"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p>
        </w:tc>
      </w:tr>
      <w:tr w:rsidR="00FB60BB" w:rsidRPr="00E147B3" w14:paraId="3D060DB3"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084F8CE8"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lastRenderedPageBreak/>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6EDD65F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1) tiesību aktu vai politikas plānošanas dokumentu analīze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9D8BB9" w14:textId="27FD9E21"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Jā</w:t>
            </w:r>
          </w:p>
        </w:tc>
      </w:tr>
      <w:tr w:rsidR="00FB60BB" w:rsidRPr="00E147B3" w14:paraId="4A9B133E"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2C486F89"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71EB96A2"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2) statistikas datu analīze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FECA12" w14:textId="1CC0AFC5"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Jā</w:t>
            </w:r>
          </w:p>
        </w:tc>
      </w:tr>
      <w:tr w:rsidR="00FB60BB" w:rsidRPr="00E147B3" w14:paraId="33C42CB7"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3A3E115B"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7A2CB61C"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3) esošo pētījumu datu sekundārā analīze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533926" w14:textId="17C383C3"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Jā</w:t>
            </w:r>
          </w:p>
        </w:tc>
      </w:tr>
      <w:tr w:rsidR="00FB60BB" w:rsidRPr="00E147B3" w14:paraId="558FB040"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07F42E05"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3D961882"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4) padziļināto/ekspertu interviju veikšana un analīze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3710E3" w14:textId="32341991"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Jā</w:t>
            </w:r>
          </w:p>
        </w:tc>
      </w:tr>
      <w:tr w:rsidR="00FB60BB" w:rsidRPr="007A7F24" w14:paraId="36D8DDF9"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046974A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5CACBF4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5) fokusa grupu diskusiju veikšana un analīze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32B865" w14:textId="77777777"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p>
        </w:tc>
      </w:tr>
      <w:tr w:rsidR="00FB60BB" w:rsidRPr="00E147B3" w14:paraId="7D068A5E"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38C866C9"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7B1BF1E0"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6) gadījumu izpēte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1B1BCD" w14:textId="17F3C948"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r w:rsidR="00710F44" w:rsidRPr="00E147B3">
              <w:rPr>
                <w:rFonts w:eastAsia="Times New Roman"/>
                <w:color w:val="414142"/>
                <w:szCs w:val="24"/>
                <w:lang w:val="lv-LV" w:eastAsia="lv-LV"/>
              </w:rPr>
              <w:t>Jā</w:t>
            </w:r>
          </w:p>
        </w:tc>
      </w:tr>
      <w:tr w:rsidR="00FB60BB" w:rsidRPr="007A7F24" w14:paraId="37939143"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7EF744EF"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6F1C90B6"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7) kvantitatīvās aptaujas veikšana un datu analīze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E89B1E" w14:textId="28B336ED"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p>
        </w:tc>
      </w:tr>
      <w:tr w:rsidR="00FB60BB" w:rsidRPr="00E147B3" w14:paraId="3200E84D"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33387622"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1818B212"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8) citas metodes (norādīt, kādas)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742D77" w14:textId="77777777"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p>
        </w:tc>
      </w:tr>
      <w:tr w:rsidR="00FB60BB" w:rsidRPr="00E147B3" w14:paraId="26F19DFB"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7DCA30B"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Kvantitatīvās pētījuma metodes</w:t>
            </w:r>
            <w:r w:rsidRPr="00E147B3">
              <w:rPr>
                <w:rFonts w:ascii="Arial" w:eastAsia="Times New Roman" w:hAnsi="Arial" w:cs="Arial"/>
                <w:color w:val="414142"/>
                <w:sz w:val="20"/>
                <w:szCs w:val="20"/>
                <w:lang w:val="lv-LV" w:eastAsia="lv-LV"/>
              </w:rPr>
              <w:br/>
              <w:t>(ja attiecināms):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67CB5E" w14:textId="0209D913" w:rsidR="00FB60BB" w:rsidRPr="00E147B3" w:rsidRDefault="00FB60BB"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 </w:t>
            </w:r>
            <w:r w:rsidR="00817094" w:rsidRPr="00E147B3">
              <w:rPr>
                <w:rFonts w:eastAsia="Times New Roman"/>
                <w:color w:val="414142"/>
                <w:szCs w:val="24"/>
                <w:lang w:val="lv-LV" w:eastAsia="lv-LV"/>
              </w:rPr>
              <w:t>N/a</w:t>
            </w:r>
          </w:p>
        </w:tc>
      </w:tr>
      <w:tr w:rsidR="00817094" w:rsidRPr="00E147B3" w14:paraId="5E8CFD7C"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1E466EF1" w14:textId="77777777" w:rsidR="00817094" w:rsidRPr="00E147B3" w:rsidRDefault="00817094" w:rsidP="00817094">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FFFFFF"/>
            <w:hideMark/>
          </w:tcPr>
          <w:p w14:paraId="0F1AD557" w14:textId="77777777" w:rsidR="00817094" w:rsidRPr="00E147B3" w:rsidRDefault="00817094" w:rsidP="00817094">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1) aptaujas izlases metode</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773084" w14:textId="5457F76B" w:rsidR="00817094" w:rsidRPr="00E147B3" w:rsidRDefault="00817094"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N/a</w:t>
            </w:r>
          </w:p>
        </w:tc>
      </w:tr>
      <w:tr w:rsidR="00817094" w:rsidRPr="00E147B3" w14:paraId="3644856E" w14:textId="77777777" w:rsidTr="00D3698E">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61E56D77" w14:textId="77777777" w:rsidR="00817094" w:rsidRPr="00E147B3" w:rsidRDefault="00817094" w:rsidP="00817094">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auto"/>
            <w:hideMark/>
          </w:tcPr>
          <w:p w14:paraId="39A54BE4" w14:textId="77777777" w:rsidR="00817094" w:rsidRPr="00E147B3" w:rsidRDefault="00817094" w:rsidP="00817094">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2) aptaujāto/anketēto respondentu/vienību skaits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155D459E" w14:textId="331F4F76" w:rsidR="00817094" w:rsidRPr="00E147B3" w:rsidRDefault="00817094"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N/a</w:t>
            </w:r>
          </w:p>
        </w:tc>
      </w:tr>
      <w:tr w:rsidR="00FB60BB" w:rsidRPr="007A7F24" w14:paraId="16E83A0D" w14:textId="77777777" w:rsidTr="00D3698E">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7DBFAE4A" w14:textId="77777777" w:rsidR="00FB60BB" w:rsidRPr="007A7F24" w:rsidRDefault="00FB60BB" w:rsidP="00FB60BB">
            <w:pPr>
              <w:widowControl/>
              <w:spacing w:before="195"/>
              <w:jc w:val="left"/>
              <w:rPr>
                <w:rFonts w:ascii="Arial" w:eastAsia="Times New Roman" w:hAnsi="Arial" w:cs="Arial"/>
                <w:color w:val="414142"/>
                <w:sz w:val="22"/>
                <w:lang w:val="lv-LV" w:eastAsia="lv-LV"/>
              </w:rPr>
            </w:pPr>
            <w:r w:rsidRPr="007A7F24">
              <w:rPr>
                <w:rFonts w:ascii="Arial" w:eastAsia="Times New Roman" w:hAnsi="Arial" w:cs="Arial"/>
                <w:b/>
                <w:bCs/>
                <w:color w:val="414142"/>
                <w:sz w:val="22"/>
                <w:lang w:val="lv-LV" w:eastAsia="lv-LV"/>
              </w:rPr>
              <w:t>Kvalitatīvās pētījuma metodes</w:t>
            </w:r>
            <w:r w:rsidRPr="007A7F24">
              <w:rPr>
                <w:rFonts w:ascii="Arial" w:eastAsia="Times New Roman" w:hAnsi="Arial" w:cs="Arial"/>
                <w:color w:val="414142"/>
                <w:sz w:val="22"/>
                <w:lang w:val="lv-LV" w:eastAsia="lv-LV"/>
              </w:rPr>
              <w:br/>
              <w:t>(ja attiecināms):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D8E4B36" w14:textId="77777777" w:rsidR="00FB60BB" w:rsidRPr="007A7F24" w:rsidRDefault="00FB60BB" w:rsidP="00E147B3">
            <w:pPr>
              <w:widowControl/>
              <w:spacing w:after="60"/>
              <w:jc w:val="left"/>
              <w:rPr>
                <w:rFonts w:eastAsia="Times New Roman"/>
                <w:color w:val="414142"/>
                <w:sz w:val="22"/>
                <w:lang w:val="lv-LV" w:eastAsia="lv-LV"/>
              </w:rPr>
            </w:pPr>
            <w:r w:rsidRPr="007A7F24">
              <w:rPr>
                <w:rFonts w:eastAsia="Times New Roman"/>
                <w:color w:val="414142"/>
                <w:sz w:val="22"/>
                <w:lang w:val="lv-LV" w:eastAsia="lv-LV"/>
              </w:rPr>
              <w:t> </w:t>
            </w:r>
          </w:p>
        </w:tc>
      </w:tr>
      <w:tr w:rsidR="00FB60BB" w:rsidRPr="007A7F24" w14:paraId="50EEA073" w14:textId="77777777" w:rsidTr="00D3698E">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2CC" w:themeFill="accent4" w:themeFillTint="33"/>
            <w:hideMark/>
          </w:tcPr>
          <w:p w14:paraId="6607B99F" w14:textId="77777777" w:rsidR="00FB60BB" w:rsidRPr="007A7F24" w:rsidRDefault="00FB60BB" w:rsidP="00FB60BB">
            <w:pPr>
              <w:widowControl/>
              <w:spacing w:before="195"/>
              <w:jc w:val="left"/>
              <w:rPr>
                <w:rFonts w:ascii="Arial" w:eastAsia="Times New Roman" w:hAnsi="Arial" w:cs="Arial"/>
                <w:color w:val="414142"/>
                <w:sz w:val="22"/>
                <w:lang w:val="lv-LV" w:eastAsia="lv-LV"/>
              </w:rPr>
            </w:pPr>
            <w:r w:rsidRPr="007A7F24">
              <w:rPr>
                <w:rFonts w:ascii="Arial" w:eastAsia="Times New Roman" w:hAnsi="Arial" w:cs="Arial"/>
                <w:color w:val="414142"/>
                <w:sz w:val="22"/>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auto"/>
            <w:hideMark/>
          </w:tcPr>
          <w:p w14:paraId="5168EBBE" w14:textId="77777777" w:rsidR="00FB60BB" w:rsidRPr="007A7F24" w:rsidRDefault="00FB60BB" w:rsidP="00FB60BB">
            <w:pPr>
              <w:widowControl/>
              <w:spacing w:before="195"/>
              <w:jc w:val="left"/>
              <w:rPr>
                <w:rFonts w:ascii="Arial" w:eastAsia="Times New Roman" w:hAnsi="Arial" w:cs="Arial"/>
                <w:color w:val="414142"/>
                <w:sz w:val="22"/>
                <w:lang w:val="lv-LV" w:eastAsia="lv-LV"/>
              </w:rPr>
            </w:pPr>
            <w:r w:rsidRPr="007A7F24">
              <w:rPr>
                <w:rFonts w:ascii="Arial" w:eastAsia="Times New Roman" w:hAnsi="Arial" w:cs="Arial"/>
                <w:color w:val="414142"/>
                <w:sz w:val="22"/>
                <w:lang w:val="lv-LV" w:eastAsia="lv-LV"/>
              </w:rPr>
              <w:t>1) padziļināto/ekspertu interviju skaits (ja attiecināms)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128AFD7" w14:textId="70917DCB" w:rsidR="00FB60BB" w:rsidRPr="007A7F24" w:rsidRDefault="00FB60BB" w:rsidP="00E147B3">
            <w:pPr>
              <w:widowControl/>
              <w:spacing w:after="60"/>
              <w:jc w:val="left"/>
              <w:rPr>
                <w:rFonts w:eastAsia="Times New Roman"/>
                <w:color w:val="414142"/>
                <w:sz w:val="22"/>
                <w:lang w:val="lv-LV" w:eastAsia="lv-LV"/>
              </w:rPr>
            </w:pPr>
            <w:r w:rsidRPr="007A7F24">
              <w:rPr>
                <w:rFonts w:eastAsia="Times New Roman"/>
                <w:color w:val="414142"/>
                <w:sz w:val="22"/>
                <w:lang w:val="lv-LV" w:eastAsia="lv-LV"/>
              </w:rPr>
              <w:t> </w:t>
            </w:r>
            <w:r w:rsidR="002A59C7" w:rsidRPr="007A7F24">
              <w:rPr>
                <w:rFonts w:eastAsia="Times New Roman"/>
                <w:color w:val="414142"/>
                <w:sz w:val="22"/>
                <w:lang w:val="lv-LV" w:eastAsia="lv-LV"/>
              </w:rPr>
              <w:t xml:space="preserve">9 ārvalstu eksperti un </w:t>
            </w:r>
            <w:r w:rsidR="003D692E" w:rsidRPr="007A7F24">
              <w:rPr>
                <w:rFonts w:eastAsia="Times New Roman"/>
                <w:color w:val="414142"/>
                <w:sz w:val="22"/>
                <w:lang w:val="lv-LV" w:eastAsia="lv-LV"/>
              </w:rPr>
              <w:t>7 Latvijas eksperti</w:t>
            </w:r>
          </w:p>
        </w:tc>
      </w:tr>
      <w:tr w:rsidR="00FB60BB" w:rsidRPr="007A7F24" w14:paraId="7116BC00" w14:textId="77777777" w:rsidTr="00D3698E">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2CC" w:themeFill="accent4" w:themeFillTint="33"/>
            <w:hideMark/>
          </w:tcPr>
          <w:p w14:paraId="6D8E3158" w14:textId="77777777" w:rsidR="00FB60BB" w:rsidRPr="007A7F24" w:rsidRDefault="00FB60BB" w:rsidP="00FB60BB">
            <w:pPr>
              <w:widowControl/>
              <w:spacing w:before="195"/>
              <w:jc w:val="left"/>
              <w:rPr>
                <w:rFonts w:ascii="Arial" w:eastAsia="Times New Roman" w:hAnsi="Arial" w:cs="Arial"/>
                <w:color w:val="414142"/>
                <w:sz w:val="22"/>
                <w:lang w:val="lv-LV" w:eastAsia="lv-LV"/>
              </w:rPr>
            </w:pPr>
            <w:r w:rsidRPr="007A7F24">
              <w:rPr>
                <w:rFonts w:ascii="Arial" w:eastAsia="Times New Roman" w:hAnsi="Arial" w:cs="Arial"/>
                <w:color w:val="414142"/>
                <w:sz w:val="22"/>
                <w:lang w:val="lv-LV" w:eastAsia="lv-LV"/>
              </w:rPr>
              <w:t> </w:t>
            </w:r>
          </w:p>
        </w:tc>
        <w:tc>
          <w:tcPr>
            <w:tcW w:w="1663" w:type="pct"/>
            <w:gridSpan w:val="2"/>
            <w:tcBorders>
              <w:top w:val="outset" w:sz="6" w:space="0" w:color="414142"/>
              <w:left w:val="nil"/>
              <w:bottom w:val="outset" w:sz="6" w:space="0" w:color="414142"/>
              <w:right w:val="outset" w:sz="6" w:space="0" w:color="414142"/>
            </w:tcBorders>
            <w:shd w:val="clear" w:color="auto" w:fill="auto"/>
            <w:hideMark/>
          </w:tcPr>
          <w:p w14:paraId="0307E772" w14:textId="77777777" w:rsidR="00FB60BB" w:rsidRPr="007A7F24" w:rsidRDefault="00FB60BB" w:rsidP="00FB60BB">
            <w:pPr>
              <w:widowControl/>
              <w:spacing w:before="195"/>
              <w:jc w:val="left"/>
              <w:rPr>
                <w:rFonts w:ascii="Arial" w:eastAsia="Times New Roman" w:hAnsi="Arial" w:cs="Arial"/>
                <w:color w:val="414142"/>
                <w:sz w:val="22"/>
                <w:lang w:val="lv-LV" w:eastAsia="lv-LV"/>
              </w:rPr>
            </w:pPr>
            <w:r w:rsidRPr="007A7F24">
              <w:rPr>
                <w:rFonts w:ascii="Arial" w:eastAsia="Times New Roman" w:hAnsi="Arial" w:cs="Arial"/>
                <w:color w:val="414142"/>
                <w:sz w:val="22"/>
                <w:lang w:val="lv-LV" w:eastAsia="lv-LV"/>
              </w:rPr>
              <w:t>2) fokusa grupu diskusiju skaits (ja attiecināms)</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6146B83C" w14:textId="77777777" w:rsidR="00FB60BB" w:rsidRPr="007A7F24" w:rsidRDefault="00FB60BB" w:rsidP="00E147B3">
            <w:pPr>
              <w:widowControl/>
              <w:spacing w:after="60"/>
              <w:jc w:val="left"/>
              <w:rPr>
                <w:rFonts w:eastAsia="Times New Roman"/>
                <w:color w:val="414142"/>
                <w:sz w:val="22"/>
                <w:lang w:val="lv-LV" w:eastAsia="lv-LV"/>
              </w:rPr>
            </w:pPr>
            <w:r w:rsidRPr="007A7F24">
              <w:rPr>
                <w:rFonts w:eastAsia="Times New Roman"/>
                <w:color w:val="414142"/>
                <w:sz w:val="22"/>
                <w:lang w:val="lv-LV" w:eastAsia="lv-LV"/>
              </w:rPr>
              <w:t> </w:t>
            </w:r>
          </w:p>
        </w:tc>
      </w:tr>
      <w:tr w:rsidR="00FB60BB" w:rsidRPr="007A7F24" w14:paraId="0AD56F6B" w14:textId="77777777" w:rsidTr="00D3698E">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1037338E" w14:textId="77777777" w:rsidR="00FB60BB" w:rsidRPr="007A7F24" w:rsidRDefault="00FB60BB" w:rsidP="00FB60BB">
            <w:pPr>
              <w:widowControl/>
              <w:spacing w:before="195"/>
              <w:jc w:val="left"/>
              <w:rPr>
                <w:rFonts w:ascii="Arial" w:eastAsia="Times New Roman" w:hAnsi="Arial" w:cs="Arial"/>
                <w:color w:val="414142"/>
                <w:sz w:val="22"/>
                <w:lang w:val="lv-LV" w:eastAsia="lv-LV"/>
              </w:rPr>
            </w:pPr>
            <w:r w:rsidRPr="007A7F24">
              <w:rPr>
                <w:rFonts w:ascii="Arial" w:eastAsia="Times New Roman" w:hAnsi="Arial" w:cs="Arial"/>
                <w:b/>
                <w:bCs/>
                <w:color w:val="414142"/>
                <w:sz w:val="22"/>
                <w:lang w:val="lv-LV" w:eastAsia="lv-LV"/>
              </w:rPr>
              <w:t>Izmantotās analīzes grupas (griezumi)</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561B2113" w14:textId="794ED34E" w:rsidR="00D620A5" w:rsidRPr="007A7F24" w:rsidRDefault="00D620A5" w:rsidP="00D620A5">
            <w:pPr>
              <w:widowControl/>
              <w:spacing w:after="60"/>
              <w:jc w:val="left"/>
              <w:rPr>
                <w:rFonts w:eastAsia="Times New Roman"/>
                <w:color w:val="414142"/>
                <w:sz w:val="22"/>
                <w:lang w:val="lv-LV" w:eastAsia="lv-LV"/>
              </w:rPr>
            </w:pPr>
            <w:r w:rsidRPr="007A7F24">
              <w:rPr>
                <w:rFonts w:eastAsia="Times New Roman"/>
                <w:color w:val="414142"/>
                <w:sz w:val="22"/>
                <w:lang w:val="lv-LV" w:eastAsia="lv-LV"/>
              </w:rPr>
              <w:t>Katras valsts pieredze analizēta šādos griezumos:</w:t>
            </w:r>
          </w:p>
          <w:p w14:paraId="121902FD" w14:textId="3BDE316E"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ieviešanas pieredze citās valstīs;</w:t>
            </w:r>
          </w:p>
          <w:p w14:paraId="649466BF" w14:textId="77777777"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kā tiek motivēti potenciālie pasūtītāji, kādas metodes strādā/ nestrādā;</w:t>
            </w:r>
          </w:p>
          <w:p w14:paraId="2C368820" w14:textId="77777777"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kādi komunikācijas formāti un kanāli tiek izmantoti;</w:t>
            </w:r>
          </w:p>
          <w:p w14:paraId="43110C31" w14:textId="77777777"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NVO un ekspertu izvēles kritēriji un piesaistes mehānismi;</w:t>
            </w:r>
          </w:p>
          <w:p w14:paraId="000D821B" w14:textId="77777777"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citu valstu pieredze NVO izvēlē (vai un kā nosaka NVO uzticamību un godprātību, pārstāvot sabiedrības intereses);</w:t>
            </w:r>
          </w:p>
          <w:p w14:paraId="2144F22B" w14:textId="77777777"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iespējamās juridiskās sekas, riski;</w:t>
            </w:r>
          </w:p>
          <w:p w14:paraId="6D0B237A" w14:textId="77777777"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atbildīgās institūcijas;</w:t>
            </w:r>
          </w:p>
          <w:p w14:paraId="5F5CEE36" w14:textId="1B869078" w:rsidR="00D620A5"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integritātes pakta ieviešanas posmi</w:t>
            </w:r>
            <w:r w:rsidR="00056948" w:rsidRPr="007A7F24">
              <w:rPr>
                <w:rFonts w:eastAsia="Times New Roman"/>
                <w:color w:val="414142"/>
                <w:sz w:val="22"/>
                <w:lang w:val="lv-LV" w:eastAsia="lv-LV"/>
              </w:rPr>
              <w:t>;</w:t>
            </w:r>
          </w:p>
          <w:p w14:paraId="680C485F" w14:textId="77777777" w:rsidR="00056948" w:rsidRPr="007A7F24" w:rsidRDefault="00D620A5"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ieteicamās iepirkumu jomas integritātes paktu ieviešanai;</w:t>
            </w:r>
            <w:r w:rsidR="00E42AC8" w:rsidRPr="007A7F24">
              <w:rPr>
                <w:sz w:val="22"/>
                <w:lang w:val="lv-LV"/>
              </w:rPr>
              <w:t xml:space="preserve"> </w:t>
            </w:r>
          </w:p>
          <w:p w14:paraId="25A9F77E" w14:textId="1460FE66" w:rsidR="00E42AC8" w:rsidRPr="007A7F24" w:rsidRDefault="00E42AC8"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ja mērķis ir sabiedrības uzticēšanās, kādas citas metodes tiek izmantotas;</w:t>
            </w:r>
          </w:p>
          <w:p w14:paraId="04886C47" w14:textId="77777777" w:rsidR="00E42AC8" w:rsidRPr="007A7F24" w:rsidRDefault="00E42AC8"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lastRenderedPageBreak/>
              <w:t>kāda ir integritātes paktu ietekme citviet Eiropā, kā to mēra;</w:t>
            </w:r>
          </w:p>
          <w:p w14:paraId="00AE888F" w14:textId="797F7520" w:rsidR="00E42AC8" w:rsidRPr="007A7F24" w:rsidRDefault="00E42AC8"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kā tiek nodrošināta ilgtspēja;</w:t>
            </w:r>
          </w:p>
          <w:p w14:paraId="42B9823B" w14:textId="77777777" w:rsidR="00E42AC8" w:rsidRPr="007A7F24" w:rsidRDefault="00E42AC8"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no kādiem finansējuma avotiem tiek finansēta integritātes paktu ieviešana;</w:t>
            </w:r>
          </w:p>
          <w:p w14:paraId="30C18343" w14:textId="7AC41743" w:rsidR="00FB60BB" w:rsidRPr="007A7F24" w:rsidRDefault="00E42AC8" w:rsidP="00DB4E13">
            <w:pPr>
              <w:pStyle w:val="Sarakstarindkopa"/>
              <w:widowControl/>
              <w:numPr>
                <w:ilvl w:val="0"/>
                <w:numId w:val="6"/>
              </w:numPr>
              <w:spacing w:after="60"/>
              <w:jc w:val="left"/>
              <w:rPr>
                <w:rFonts w:eastAsia="Times New Roman"/>
                <w:color w:val="414142"/>
                <w:sz w:val="22"/>
                <w:lang w:val="lv-LV" w:eastAsia="lv-LV"/>
              </w:rPr>
            </w:pPr>
            <w:r w:rsidRPr="007A7F24">
              <w:rPr>
                <w:rFonts w:eastAsia="Times New Roman"/>
                <w:color w:val="414142"/>
                <w:sz w:val="22"/>
                <w:lang w:val="lv-LV" w:eastAsia="lv-LV"/>
              </w:rPr>
              <w:t xml:space="preserve">kā tiek aprēķinātas integritātes </w:t>
            </w:r>
            <w:proofErr w:type="spellStart"/>
            <w:r w:rsidRPr="007A7F24">
              <w:rPr>
                <w:rFonts w:eastAsia="Times New Roman"/>
                <w:color w:val="414142"/>
                <w:sz w:val="22"/>
                <w:lang w:val="lv-LV" w:eastAsia="lv-LV"/>
              </w:rPr>
              <w:t>paktu</w:t>
            </w:r>
            <w:proofErr w:type="spellEnd"/>
            <w:r w:rsidRPr="007A7F24">
              <w:rPr>
                <w:rFonts w:eastAsia="Times New Roman"/>
                <w:color w:val="414142"/>
                <w:sz w:val="22"/>
                <w:lang w:val="lv-LV" w:eastAsia="lv-LV"/>
              </w:rPr>
              <w:t xml:space="preserve"> ieviešanas izmaksas</w:t>
            </w:r>
            <w:r w:rsidR="00D3698E">
              <w:rPr>
                <w:rFonts w:eastAsia="Times New Roman"/>
                <w:color w:val="414142"/>
                <w:sz w:val="22"/>
                <w:lang w:val="lv-LV" w:eastAsia="lv-LV"/>
              </w:rPr>
              <w:t>.</w:t>
            </w:r>
          </w:p>
        </w:tc>
      </w:tr>
      <w:tr w:rsidR="00FB60BB" w:rsidRPr="00E147B3" w14:paraId="7DB163A9" w14:textId="77777777" w:rsidTr="00D3698E">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392019B0"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lastRenderedPageBreak/>
              <w:t>Pētījuma pasūtītāja kontaktinformācija</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B1B9661" w14:textId="77777777" w:rsidR="00FB60BB" w:rsidRPr="00E147B3" w:rsidRDefault="00817094"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Valsts kanceleja</w:t>
            </w:r>
            <w:r w:rsidR="002B64EF" w:rsidRPr="00E147B3">
              <w:rPr>
                <w:rFonts w:eastAsia="Times New Roman"/>
                <w:color w:val="414142"/>
                <w:szCs w:val="24"/>
                <w:lang w:val="lv-LV" w:eastAsia="lv-LV"/>
              </w:rPr>
              <w:t xml:space="preserve">, </w:t>
            </w:r>
            <w:hyperlink r:id="rId5" w:history="1">
              <w:r w:rsidR="002B64EF" w:rsidRPr="00E147B3">
                <w:rPr>
                  <w:rStyle w:val="Hipersaite"/>
                  <w:rFonts w:eastAsia="Times New Roman"/>
                  <w:szCs w:val="24"/>
                  <w:lang w:val="lv-LV" w:eastAsia="lv-LV"/>
                </w:rPr>
                <w:t>pasts@mk.gov.lv</w:t>
              </w:r>
            </w:hyperlink>
            <w:r w:rsidR="002B64EF" w:rsidRPr="00E147B3">
              <w:rPr>
                <w:rFonts w:eastAsia="Times New Roman"/>
                <w:color w:val="414142"/>
                <w:szCs w:val="24"/>
                <w:lang w:val="lv-LV" w:eastAsia="lv-LV"/>
              </w:rPr>
              <w:t>, +371 67082800, +371 67082900</w:t>
            </w:r>
          </w:p>
          <w:p w14:paraId="1F864929" w14:textId="4D2BB9B7" w:rsidR="002B64EF" w:rsidRPr="00E147B3" w:rsidRDefault="002B64EF" w:rsidP="00E147B3">
            <w:pPr>
              <w:widowControl/>
              <w:spacing w:after="60"/>
              <w:jc w:val="left"/>
              <w:rPr>
                <w:rFonts w:eastAsia="Times New Roman"/>
                <w:color w:val="414142"/>
                <w:szCs w:val="24"/>
                <w:lang w:val="lv-LV" w:eastAsia="lv-LV"/>
              </w:rPr>
            </w:pPr>
            <w:r w:rsidRPr="00E147B3">
              <w:rPr>
                <w:rFonts w:eastAsia="Times New Roman"/>
                <w:color w:val="414142"/>
                <w:szCs w:val="24"/>
                <w:lang w:val="lv-LV" w:eastAsia="lv-LV"/>
              </w:rPr>
              <w:t>Haralds Beitelis, Ārvalstu finanšu instrumentu departamenta vadītājs,</w:t>
            </w:r>
            <w:r w:rsidR="00E147B3" w:rsidRPr="00E147B3">
              <w:rPr>
                <w:rFonts w:eastAsia="Times New Roman"/>
                <w:color w:val="414142"/>
                <w:szCs w:val="24"/>
                <w:lang w:val="lv-LV" w:eastAsia="lv-LV"/>
              </w:rPr>
              <w:t xml:space="preserve"> </w:t>
            </w:r>
            <w:hyperlink r:id="rId6" w:history="1">
              <w:r w:rsidR="00E147B3" w:rsidRPr="00E147B3">
                <w:rPr>
                  <w:rStyle w:val="Hipersaite"/>
                  <w:rFonts w:eastAsia="Times New Roman"/>
                  <w:szCs w:val="24"/>
                  <w:lang w:val="lv-LV" w:eastAsia="lv-LV"/>
                </w:rPr>
                <w:t>Haralds.Beitelis@mk.gov.lv</w:t>
              </w:r>
            </w:hyperlink>
            <w:r w:rsidR="00E147B3" w:rsidRPr="00E147B3">
              <w:rPr>
                <w:rFonts w:eastAsia="Times New Roman"/>
                <w:color w:val="414142"/>
                <w:szCs w:val="24"/>
                <w:lang w:val="lv-LV" w:eastAsia="lv-LV"/>
              </w:rPr>
              <w:t>, 67082989</w:t>
            </w:r>
          </w:p>
        </w:tc>
      </w:tr>
      <w:tr w:rsidR="00FB60BB" w:rsidRPr="007A7F24" w14:paraId="59F3573A" w14:textId="77777777" w:rsidTr="00E147B3">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Height w:val="312"/>
        </w:trPr>
        <w:tc>
          <w:tcPr>
            <w:tcW w:w="196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9494C53" w14:textId="77777777" w:rsidR="00FB60BB" w:rsidRPr="00E147B3" w:rsidRDefault="00FB60BB" w:rsidP="00FB60BB">
            <w:pPr>
              <w:widowControl/>
              <w:spacing w:before="195"/>
              <w:jc w:val="left"/>
              <w:rPr>
                <w:rFonts w:ascii="Arial" w:eastAsia="Times New Roman" w:hAnsi="Arial" w:cs="Arial"/>
                <w:color w:val="414142"/>
                <w:sz w:val="20"/>
                <w:szCs w:val="20"/>
                <w:lang w:val="lv-LV" w:eastAsia="lv-LV"/>
              </w:rPr>
            </w:pPr>
            <w:r w:rsidRPr="00E147B3">
              <w:rPr>
                <w:rFonts w:ascii="Arial" w:eastAsia="Times New Roman" w:hAnsi="Arial" w:cs="Arial"/>
                <w:b/>
                <w:bCs/>
                <w:color w:val="414142"/>
                <w:sz w:val="20"/>
                <w:szCs w:val="20"/>
                <w:lang w:val="lv-LV" w:eastAsia="lv-LV"/>
              </w:rPr>
              <w:t>Pētījuma autori** (autortiesību subjekti)</w:t>
            </w:r>
          </w:p>
        </w:tc>
        <w:tc>
          <w:tcPr>
            <w:tcW w:w="303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01BE6E" w14:textId="124E5383" w:rsidR="00FB60BB" w:rsidRPr="00431254" w:rsidRDefault="00431254" w:rsidP="00E147B3">
            <w:pPr>
              <w:widowControl/>
              <w:spacing w:after="60"/>
              <w:jc w:val="left"/>
              <w:rPr>
                <w:rFonts w:eastAsia="Times New Roman"/>
                <w:color w:val="414142"/>
                <w:szCs w:val="24"/>
                <w:lang w:val="lv-LV" w:eastAsia="lv-LV"/>
              </w:rPr>
            </w:pPr>
            <w:r w:rsidRPr="00431254">
              <w:rPr>
                <w:lang w:val="lv-LV"/>
              </w:rPr>
              <w:t>Valts Kalniņš (vadošais pētnieks), Agnese Frīdenberga, Līga Stafecka, Inese Tauriņa, Jēkabs Kārlis Rasnačs, Viola Korpa, Ieva Cēbura.</w:t>
            </w:r>
          </w:p>
        </w:tc>
      </w:tr>
    </w:tbl>
    <w:p w14:paraId="67664108" w14:textId="77777777" w:rsidR="00FB60BB" w:rsidRPr="00E147B3" w:rsidRDefault="00FB60BB" w:rsidP="00FB60BB">
      <w:pPr>
        <w:widowControl/>
        <w:shd w:val="clear" w:color="auto" w:fill="FFFFFF"/>
        <w:spacing w:before="100" w:beforeAutospacing="1" w:after="100" w:afterAutospacing="1" w:line="293" w:lineRule="atLeast"/>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 </w:t>
      </w:r>
    </w:p>
    <w:p w14:paraId="58D9BE80" w14:textId="77777777" w:rsidR="00FB60BB" w:rsidRPr="00E147B3" w:rsidRDefault="00FB60BB" w:rsidP="00FB60BB">
      <w:pPr>
        <w:widowControl/>
        <w:shd w:val="clear" w:color="auto" w:fill="FFFFFF"/>
        <w:spacing w:before="100" w:beforeAutospacing="1" w:after="100" w:afterAutospacing="1" w:line="293" w:lineRule="atLeast"/>
        <w:ind w:firstLine="300"/>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Piezīmes.</w:t>
      </w:r>
    </w:p>
    <w:p w14:paraId="346E123C" w14:textId="77777777" w:rsidR="00FB60BB" w:rsidRPr="00E147B3" w:rsidRDefault="00FB60BB" w:rsidP="00FB60BB">
      <w:pPr>
        <w:widowControl/>
        <w:shd w:val="clear" w:color="auto" w:fill="FFFFFF"/>
        <w:spacing w:before="100" w:beforeAutospacing="1" w:after="100" w:afterAutospacing="1" w:line="293" w:lineRule="atLeast"/>
        <w:ind w:firstLine="300"/>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1. * Pētījuma klasifikācijas grupa atbilstoši Ministru kabineta 2013. gada 3. janvāra noteikumu Nr. 1 "Kārtība, kādā publiska persona pasūta pētījumus"</w:t>
      </w:r>
      <w:hyperlink r:id="rId7" w:anchor="n2" w:history="1">
        <w:r w:rsidRPr="00E147B3">
          <w:rPr>
            <w:rFonts w:ascii="Arial" w:eastAsia="Times New Roman" w:hAnsi="Arial" w:cs="Arial"/>
            <w:color w:val="16497B"/>
            <w:sz w:val="20"/>
            <w:szCs w:val="20"/>
            <w:u w:val="single"/>
            <w:lang w:val="lv-LV" w:eastAsia="lv-LV"/>
          </w:rPr>
          <w:t> II nodaļai</w:t>
        </w:r>
      </w:hyperlink>
      <w:r w:rsidRPr="00E147B3">
        <w:rPr>
          <w:rFonts w:ascii="Arial" w:eastAsia="Times New Roman" w:hAnsi="Arial" w:cs="Arial"/>
          <w:color w:val="414142"/>
          <w:sz w:val="20"/>
          <w:szCs w:val="20"/>
          <w:lang w:val="lv-LV" w:eastAsia="lv-LV"/>
        </w:rPr>
        <w:t>.</w:t>
      </w:r>
    </w:p>
    <w:p w14:paraId="7DBE6A8D" w14:textId="77777777" w:rsidR="00FB60BB" w:rsidRPr="00E147B3" w:rsidRDefault="00FB60BB" w:rsidP="00FB60BB">
      <w:pPr>
        <w:widowControl/>
        <w:shd w:val="clear" w:color="auto" w:fill="FFFFFF"/>
        <w:spacing w:before="100" w:beforeAutospacing="1" w:after="100" w:afterAutospacing="1" w:line="293" w:lineRule="atLeast"/>
        <w:ind w:firstLine="300"/>
        <w:jc w:val="left"/>
        <w:rPr>
          <w:rFonts w:ascii="Arial" w:eastAsia="Times New Roman" w:hAnsi="Arial" w:cs="Arial"/>
          <w:color w:val="414142"/>
          <w:sz w:val="20"/>
          <w:szCs w:val="20"/>
          <w:lang w:val="lv-LV" w:eastAsia="lv-LV"/>
        </w:rPr>
      </w:pPr>
      <w:r w:rsidRPr="00E147B3">
        <w:rPr>
          <w:rFonts w:ascii="Arial" w:eastAsia="Times New Roman" w:hAnsi="Arial" w:cs="Arial"/>
          <w:color w:val="414142"/>
          <w:sz w:val="20"/>
          <w:szCs w:val="20"/>
          <w:lang w:val="lv-LV" w:eastAsia="lv-LV"/>
        </w:rPr>
        <w:t>2. ** Atbilstoši pētījuma īstenotāja sniegtajai informācijai.</w:t>
      </w:r>
    </w:p>
    <w:p w14:paraId="5E31380C" w14:textId="77777777" w:rsidR="00155F5C" w:rsidRPr="00E147B3" w:rsidRDefault="00155F5C">
      <w:pPr>
        <w:rPr>
          <w:lang w:val="lv-LV"/>
        </w:rPr>
      </w:pPr>
    </w:p>
    <w:sectPr w:rsidR="00155F5C" w:rsidRPr="00E147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02B1"/>
    <w:multiLevelType w:val="hybridMultilevel"/>
    <w:tmpl w:val="2A2884DE"/>
    <w:lvl w:ilvl="0" w:tplc="C6CC21B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1D6573"/>
    <w:multiLevelType w:val="hybridMultilevel"/>
    <w:tmpl w:val="3D9015FC"/>
    <w:lvl w:ilvl="0" w:tplc="57AA93A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9102EC8"/>
    <w:multiLevelType w:val="hybridMultilevel"/>
    <w:tmpl w:val="65865644"/>
    <w:lvl w:ilvl="0" w:tplc="1422DB1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EB1B4D"/>
    <w:multiLevelType w:val="hybridMultilevel"/>
    <w:tmpl w:val="33D86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0D4221"/>
    <w:multiLevelType w:val="multilevel"/>
    <w:tmpl w:val="158E5D48"/>
    <w:styleLink w:val="Virsrakstinumureti"/>
    <w:lvl w:ilvl="0">
      <w:start w:val="1"/>
      <w:numFmt w:val="decimal"/>
      <w:lvlText w:val="%1."/>
      <w:lvlJc w:val="left"/>
      <w:pPr>
        <w:ind w:left="360" w:hanging="360"/>
      </w:pPr>
      <w:rPr>
        <w:rFonts w:ascii="Times New Roman" w:hAnsi="Times New Roman"/>
        <w:b w:val="0"/>
        <w:sz w:val="24"/>
        <w:szCs w:val="24"/>
      </w:rPr>
    </w:lvl>
    <w:lvl w:ilvl="1">
      <w:start w:val="1"/>
      <w:numFmt w:val="decimal"/>
      <w:lvlText w:val="%1.%2."/>
      <w:lvlJc w:val="left"/>
      <w:pPr>
        <w:ind w:left="360" w:hanging="360"/>
      </w:pPr>
      <w:rPr>
        <w:rFonts w:ascii="Times New Roman" w:hAnsi="Times New Roman" w:cs="Times New Roman"/>
        <w:sz w:val="24"/>
      </w:rPr>
    </w:lvl>
    <w:lvl w:ilvl="2">
      <w:start w:val="1"/>
      <w:numFmt w:val="decimal"/>
      <w:lvlText w:val="%1.%2.%3."/>
      <w:lvlJc w:val="left"/>
      <w:pPr>
        <w:ind w:left="2160" w:hanging="720"/>
      </w:pPr>
    </w:lvl>
    <w:lvl w:ilvl="3">
      <w:start w:val="1"/>
      <w:numFmt w:val="decimal"/>
      <w:lvlText w:val="%1.%2.%3.%4."/>
      <w:lvlJc w:val="left"/>
      <w:pPr>
        <w:ind w:left="1571"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686295497">
    <w:abstractNumId w:val="0"/>
  </w:num>
  <w:num w:numId="2" w16cid:durableId="2068724146">
    <w:abstractNumId w:val="0"/>
  </w:num>
  <w:num w:numId="3" w16cid:durableId="2145539926">
    <w:abstractNumId w:val="4"/>
  </w:num>
  <w:num w:numId="4" w16cid:durableId="847058802">
    <w:abstractNumId w:val="1"/>
  </w:num>
  <w:num w:numId="5" w16cid:durableId="851605904">
    <w:abstractNumId w:val="3"/>
  </w:num>
  <w:num w:numId="6" w16cid:durableId="177269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B"/>
    <w:rsid w:val="00056948"/>
    <w:rsid w:val="00111F71"/>
    <w:rsid w:val="00155F5C"/>
    <w:rsid w:val="002A59C7"/>
    <w:rsid w:val="002B64EF"/>
    <w:rsid w:val="003163A9"/>
    <w:rsid w:val="003C5FF8"/>
    <w:rsid w:val="003D692E"/>
    <w:rsid w:val="00431254"/>
    <w:rsid w:val="004A00A6"/>
    <w:rsid w:val="00536A55"/>
    <w:rsid w:val="005A080C"/>
    <w:rsid w:val="005B28C3"/>
    <w:rsid w:val="00667DDE"/>
    <w:rsid w:val="006968F6"/>
    <w:rsid w:val="006B73C4"/>
    <w:rsid w:val="00710F44"/>
    <w:rsid w:val="007645AA"/>
    <w:rsid w:val="007A7F24"/>
    <w:rsid w:val="007E713C"/>
    <w:rsid w:val="007F2129"/>
    <w:rsid w:val="00817094"/>
    <w:rsid w:val="009C5337"/>
    <w:rsid w:val="00A6116C"/>
    <w:rsid w:val="00BC3221"/>
    <w:rsid w:val="00BD1EFE"/>
    <w:rsid w:val="00CB7528"/>
    <w:rsid w:val="00D3698E"/>
    <w:rsid w:val="00D620A5"/>
    <w:rsid w:val="00DB4E13"/>
    <w:rsid w:val="00DE0CE3"/>
    <w:rsid w:val="00E147B3"/>
    <w:rsid w:val="00E35A31"/>
    <w:rsid w:val="00E42AC8"/>
    <w:rsid w:val="00E57722"/>
    <w:rsid w:val="00F604A8"/>
    <w:rsid w:val="00FB60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B1E9"/>
  <w15:chartTrackingRefBased/>
  <w15:docId w15:val="{FD34A3B5-86C3-4C8A-8A16-823A6B06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45AA"/>
    <w:pPr>
      <w:widowControl w:val="0"/>
      <w:spacing w:after="0" w:line="240" w:lineRule="auto"/>
      <w:jc w:val="both"/>
    </w:pPr>
    <w:rPr>
      <w:rFonts w:ascii="Times New Roman" w:hAnsi="Times New Roman" w:cs="Times New Roman"/>
      <w:sz w:val="24"/>
      <w:lang w:val="en-US"/>
    </w:rPr>
  </w:style>
  <w:style w:type="paragraph" w:styleId="Virsraksts1">
    <w:name w:val="heading 1"/>
    <w:basedOn w:val="Parasts"/>
    <w:next w:val="Parasts"/>
    <w:link w:val="Virsraksts1Rakstz"/>
    <w:autoRedefine/>
    <w:uiPriority w:val="9"/>
    <w:qFormat/>
    <w:rsid w:val="00111F71"/>
    <w:pPr>
      <w:keepNext/>
      <w:keepLines/>
      <w:outlineLvl w:val="0"/>
    </w:pPr>
    <w:rPr>
      <w:rFonts w:ascii="Times New Roman Bold" w:eastAsiaTheme="majorEastAsia" w:hAnsi="Times New Roman Bold" w:cstheme="majorBidi"/>
      <w:b/>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Virsrakstinumureti">
    <w:name w:val="Virsraksti numureti"/>
    <w:basedOn w:val="Bezsaraksta"/>
    <w:uiPriority w:val="99"/>
    <w:rsid w:val="006B73C4"/>
    <w:pPr>
      <w:numPr>
        <w:numId w:val="3"/>
      </w:numPr>
    </w:pPr>
  </w:style>
  <w:style w:type="character" w:customStyle="1" w:styleId="Virsraksts1Rakstz">
    <w:name w:val="Virsraksts 1 Rakstz."/>
    <w:basedOn w:val="Noklusjumarindkopasfonts"/>
    <w:link w:val="Virsraksts1"/>
    <w:uiPriority w:val="9"/>
    <w:rsid w:val="00111F71"/>
    <w:rPr>
      <w:rFonts w:ascii="Times New Roman Bold" w:eastAsiaTheme="majorEastAsia" w:hAnsi="Times New Roman Bold" w:cstheme="majorBidi"/>
      <w:b/>
      <w:sz w:val="24"/>
      <w:szCs w:val="32"/>
    </w:rPr>
  </w:style>
  <w:style w:type="paragraph" w:styleId="Paraststmeklis">
    <w:name w:val="Normal (Web)"/>
    <w:basedOn w:val="Parasts"/>
    <w:uiPriority w:val="99"/>
    <w:semiHidden/>
    <w:unhideWhenUsed/>
    <w:rsid w:val="00FB60BB"/>
    <w:pPr>
      <w:widowControl/>
      <w:spacing w:before="100" w:beforeAutospacing="1" w:after="100" w:afterAutospacing="1"/>
      <w:jc w:val="left"/>
    </w:pPr>
    <w:rPr>
      <w:rFonts w:eastAsia="Times New Roman"/>
      <w:szCs w:val="24"/>
      <w:lang w:val="lv-LV" w:eastAsia="lv-LV"/>
    </w:rPr>
  </w:style>
  <w:style w:type="character" w:styleId="Izteiksmgs">
    <w:name w:val="Strong"/>
    <w:basedOn w:val="Noklusjumarindkopasfonts"/>
    <w:uiPriority w:val="22"/>
    <w:qFormat/>
    <w:rsid w:val="00FB60BB"/>
    <w:rPr>
      <w:b/>
      <w:bCs/>
    </w:rPr>
  </w:style>
  <w:style w:type="paragraph" w:customStyle="1" w:styleId="tv213">
    <w:name w:val="tv213"/>
    <w:basedOn w:val="Parasts"/>
    <w:rsid w:val="00FB60BB"/>
    <w:pPr>
      <w:widowControl/>
      <w:spacing w:before="100" w:beforeAutospacing="1" w:after="100" w:afterAutospacing="1"/>
      <w:jc w:val="left"/>
    </w:pPr>
    <w:rPr>
      <w:rFonts w:eastAsia="Times New Roman"/>
      <w:szCs w:val="24"/>
      <w:lang w:val="lv-LV" w:eastAsia="lv-LV"/>
    </w:rPr>
  </w:style>
  <w:style w:type="character" w:styleId="Hipersaite">
    <w:name w:val="Hyperlink"/>
    <w:basedOn w:val="Noklusjumarindkopasfonts"/>
    <w:uiPriority w:val="99"/>
    <w:unhideWhenUsed/>
    <w:rsid w:val="00FB60BB"/>
    <w:rPr>
      <w:color w:val="0000FF"/>
      <w:u w:val="single"/>
    </w:rPr>
  </w:style>
  <w:style w:type="character" w:styleId="Neatrisintapieminana">
    <w:name w:val="Unresolved Mention"/>
    <w:basedOn w:val="Noklusjumarindkopasfonts"/>
    <w:uiPriority w:val="99"/>
    <w:semiHidden/>
    <w:unhideWhenUsed/>
    <w:rsid w:val="002B64EF"/>
    <w:rPr>
      <w:color w:val="605E5C"/>
      <w:shd w:val="clear" w:color="auto" w:fill="E1DFDD"/>
    </w:rPr>
  </w:style>
  <w:style w:type="character" w:styleId="Komentraatsauce">
    <w:name w:val="annotation reference"/>
    <w:basedOn w:val="Noklusjumarindkopasfonts"/>
    <w:uiPriority w:val="99"/>
    <w:semiHidden/>
    <w:unhideWhenUsed/>
    <w:rsid w:val="007E713C"/>
    <w:rPr>
      <w:sz w:val="16"/>
      <w:szCs w:val="16"/>
    </w:rPr>
  </w:style>
  <w:style w:type="paragraph" w:styleId="Komentrateksts">
    <w:name w:val="annotation text"/>
    <w:basedOn w:val="Parasts"/>
    <w:link w:val="KomentratekstsRakstz"/>
    <w:uiPriority w:val="99"/>
    <w:unhideWhenUsed/>
    <w:rsid w:val="007E713C"/>
    <w:rPr>
      <w:sz w:val="20"/>
      <w:szCs w:val="20"/>
    </w:rPr>
  </w:style>
  <w:style w:type="character" w:customStyle="1" w:styleId="KomentratekstsRakstz">
    <w:name w:val="Komentāra teksts Rakstz."/>
    <w:basedOn w:val="Noklusjumarindkopasfonts"/>
    <w:link w:val="Komentrateksts"/>
    <w:uiPriority w:val="99"/>
    <w:rsid w:val="007E713C"/>
    <w:rPr>
      <w:rFonts w:ascii="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7E713C"/>
    <w:rPr>
      <w:b/>
      <w:bCs/>
    </w:rPr>
  </w:style>
  <w:style w:type="character" w:customStyle="1" w:styleId="KomentratmaRakstz">
    <w:name w:val="Komentāra tēma Rakstz."/>
    <w:basedOn w:val="KomentratekstsRakstz"/>
    <w:link w:val="Komentratma"/>
    <w:uiPriority w:val="99"/>
    <w:semiHidden/>
    <w:rsid w:val="007E713C"/>
    <w:rPr>
      <w:rFonts w:ascii="Times New Roman" w:hAnsi="Times New Roman" w:cs="Times New Roman"/>
      <w:b/>
      <w:bCs/>
      <w:sz w:val="20"/>
      <w:szCs w:val="20"/>
      <w:lang w:val="en-US"/>
    </w:rPr>
  </w:style>
  <w:style w:type="paragraph" w:styleId="Sarakstarindkopa">
    <w:name w:val="List Paragraph"/>
    <w:basedOn w:val="Parasts"/>
    <w:uiPriority w:val="34"/>
    <w:qFormat/>
    <w:rsid w:val="00DB4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4433">
      <w:bodyDiv w:val="1"/>
      <w:marLeft w:val="0"/>
      <w:marRight w:val="0"/>
      <w:marTop w:val="0"/>
      <w:marBottom w:val="0"/>
      <w:divBdr>
        <w:top w:val="none" w:sz="0" w:space="0" w:color="auto"/>
        <w:left w:val="none" w:sz="0" w:space="0" w:color="auto"/>
        <w:bottom w:val="none" w:sz="0" w:space="0" w:color="auto"/>
        <w:right w:val="none" w:sz="0" w:space="0" w:color="auto"/>
      </w:divBdr>
      <w:divsChild>
        <w:div w:id="1200821499">
          <w:marLeft w:val="0"/>
          <w:marRight w:val="0"/>
          <w:marTop w:val="0"/>
          <w:marBottom w:val="0"/>
          <w:divBdr>
            <w:top w:val="none" w:sz="0" w:space="0" w:color="auto"/>
            <w:left w:val="none" w:sz="0" w:space="0" w:color="auto"/>
            <w:bottom w:val="none" w:sz="0" w:space="0" w:color="auto"/>
            <w:right w:val="none" w:sz="0" w:space="0" w:color="auto"/>
          </w:divBdr>
        </w:div>
        <w:div w:id="2055156313">
          <w:marLeft w:val="0"/>
          <w:marRight w:val="0"/>
          <w:marTop w:val="0"/>
          <w:marBottom w:val="0"/>
          <w:divBdr>
            <w:top w:val="none" w:sz="0" w:space="0" w:color="auto"/>
            <w:left w:val="none" w:sz="0" w:space="0" w:color="auto"/>
            <w:bottom w:val="none" w:sz="0" w:space="0" w:color="auto"/>
            <w:right w:val="none" w:sz="0" w:space="0" w:color="auto"/>
          </w:divBdr>
        </w:div>
      </w:divsChild>
    </w:div>
    <w:div w:id="561214744">
      <w:bodyDiv w:val="1"/>
      <w:marLeft w:val="0"/>
      <w:marRight w:val="0"/>
      <w:marTop w:val="0"/>
      <w:marBottom w:val="0"/>
      <w:divBdr>
        <w:top w:val="none" w:sz="0" w:space="0" w:color="auto"/>
        <w:left w:val="none" w:sz="0" w:space="0" w:color="auto"/>
        <w:bottom w:val="none" w:sz="0" w:space="0" w:color="auto"/>
        <w:right w:val="none" w:sz="0" w:space="0" w:color="auto"/>
      </w:divBdr>
    </w:div>
    <w:div w:id="561722608">
      <w:bodyDiv w:val="1"/>
      <w:marLeft w:val="0"/>
      <w:marRight w:val="0"/>
      <w:marTop w:val="0"/>
      <w:marBottom w:val="0"/>
      <w:divBdr>
        <w:top w:val="none" w:sz="0" w:space="0" w:color="auto"/>
        <w:left w:val="none" w:sz="0" w:space="0" w:color="auto"/>
        <w:bottom w:val="none" w:sz="0" w:space="0" w:color="auto"/>
        <w:right w:val="none" w:sz="0" w:space="0" w:color="auto"/>
      </w:divBdr>
    </w:div>
    <w:div w:id="605428961">
      <w:bodyDiv w:val="1"/>
      <w:marLeft w:val="0"/>
      <w:marRight w:val="0"/>
      <w:marTop w:val="0"/>
      <w:marBottom w:val="0"/>
      <w:divBdr>
        <w:top w:val="none" w:sz="0" w:space="0" w:color="auto"/>
        <w:left w:val="none" w:sz="0" w:space="0" w:color="auto"/>
        <w:bottom w:val="none" w:sz="0" w:space="0" w:color="auto"/>
        <w:right w:val="none" w:sz="0" w:space="0" w:color="auto"/>
      </w:divBdr>
    </w:div>
    <w:div w:id="758143172">
      <w:bodyDiv w:val="1"/>
      <w:marLeft w:val="0"/>
      <w:marRight w:val="0"/>
      <w:marTop w:val="0"/>
      <w:marBottom w:val="0"/>
      <w:divBdr>
        <w:top w:val="none" w:sz="0" w:space="0" w:color="auto"/>
        <w:left w:val="none" w:sz="0" w:space="0" w:color="auto"/>
        <w:bottom w:val="none" w:sz="0" w:space="0" w:color="auto"/>
        <w:right w:val="none" w:sz="0" w:space="0" w:color="auto"/>
      </w:divBdr>
      <w:divsChild>
        <w:div w:id="2138840115">
          <w:marLeft w:val="0"/>
          <w:marRight w:val="0"/>
          <w:marTop w:val="0"/>
          <w:marBottom w:val="0"/>
          <w:divBdr>
            <w:top w:val="none" w:sz="0" w:space="0" w:color="auto"/>
            <w:left w:val="none" w:sz="0" w:space="0" w:color="auto"/>
            <w:bottom w:val="none" w:sz="0" w:space="0" w:color="auto"/>
            <w:right w:val="none" w:sz="0" w:space="0" w:color="auto"/>
          </w:divBdr>
        </w:div>
        <w:div w:id="1920404292">
          <w:marLeft w:val="0"/>
          <w:marRight w:val="0"/>
          <w:marTop w:val="0"/>
          <w:marBottom w:val="0"/>
          <w:divBdr>
            <w:top w:val="none" w:sz="0" w:space="0" w:color="auto"/>
            <w:left w:val="none" w:sz="0" w:space="0" w:color="auto"/>
            <w:bottom w:val="none" w:sz="0" w:space="0" w:color="auto"/>
            <w:right w:val="none" w:sz="0" w:space="0" w:color="auto"/>
          </w:divBdr>
        </w:div>
      </w:divsChild>
    </w:div>
    <w:div w:id="861166576">
      <w:bodyDiv w:val="1"/>
      <w:marLeft w:val="0"/>
      <w:marRight w:val="0"/>
      <w:marTop w:val="0"/>
      <w:marBottom w:val="0"/>
      <w:divBdr>
        <w:top w:val="none" w:sz="0" w:space="0" w:color="auto"/>
        <w:left w:val="none" w:sz="0" w:space="0" w:color="auto"/>
        <w:bottom w:val="none" w:sz="0" w:space="0" w:color="auto"/>
        <w:right w:val="none" w:sz="0" w:space="0" w:color="auto"/>
      </w:divBdr>
      <w:divsChild>
        <w:div w:id="960109144">
          <w:marLeft w:val="0"/>
          <w:marRight w:val="0"/>
          <w:marTop w:val="0"/>
          <w:marBottom w:val="0"/>
          <w:divBdr>
            <w:top w:val="none" w:sz="0" w:space="0" w:color="auto"/>
            <w:left w:val="none" w:sz="0" w:space="0" w:color="auto"/>
            <w:bottom w:val="none" w:sz="0" w:space="0" w:color="auto"/>
            <w:right w:val="none" w:sz="0" w:space="0" w:color="auto"/>
          </w:divBdr>
          <w:divsChild>
            <w:div w:id="20689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743">
      <w:bodyDiv w:val="1"/>
      <w:marLeft w:val="0"/>
      <w:marRight w:val="0"/>
      <w:marTop w:val="0"/>
      <w:marBottom w:val="0"/>
      <w:divBdr>
        <w:top w:val="none" w:sz="0" w:space="0" w:color="auto"/>
        <w:left w:val="none" w:sz="0" w:space="0" w:color="auto"/>
        <w:bottom w:val="none" w:sz="0" w:space="0" w:color="auto"/>
        <w:right w:val="none" w:sz="0" w:space="0" w:color="auto"/>
      </w:divBdr>
      <w:divsChild>
        <w:div w:id="1156070868">
          <w:marLeft w:val="0"/>
          <w:marRight w:val="0"/>
          <w:marTop w:val="195"/>
          <w:marBottom w:val="195"/>
          <w:divBdr>
            <w:top w:val="none" w:sz="0" w:space="0" w:color="auto"/>
            <w:left w:val="none" w:sz="0" w:space="0" w:color="auto"/>
            <w:bottom w:val="none" w:sz="0" w:space="0" w:color="auto"/>
            <w:right w:val="none" w:sz="0" w:space="0" w:color="auto"/>
          </w:divBdr>
        </w:div>
      </w:divsChild>
    </w:div>
    <w:div w:id="1593006742">
      <w:bodyDiv w:val="1"/>
      <w:marLeft w:val="0"/>
      <w:marRight w:val="0"/>
      <w:marTop w:val="0"/>
      <w:marBottom w:val="0"/>
      <w:divBdr>
        <w:top w:val="none" w:sz="0" w:space="0" w:color="auto"/>
        <w:left w:val="none" w:sz="0" w:space="0" w:color="auto"/>
        <w:bottom w:val="none" w:sz="0" w:space="0" w:color="auto"/>
        <w:right w:val="none" w:sz="0" w:space="0" w:color="auto"/>
      </w:divBdr>
    </w:div>
    <w:div w:id="1767536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2223">
          <w:marLeft w:val="0"/>
          <w:marRight w:val="0"/>
          <w:marTop w:val="0"/>
          <w:marBottom w:val="0"/>
          <w:divBdr>
            <w:top w:val="none" w:sz="0" w:space="0" w:color="auto"/>
            <w:left w:val="none" w:sz="0" w:space="0" w:color="auto"/>
            <w:bottom w:val="none" w:sz="0" w:space="0" w:color="auto"/>
            <w:right w:val="none" w:sz="0" w:space="0" w:color="auto"/>
          </w:divBdr>
          <w:divsChild>
            <w:div w:id="835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3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alds.Beitelis@mk.gov.lv" TargetMode="External"/><Relationship Id="rId5" Type="http://schemas.openxmlformats.org/officeDocument/2006/relationships/hyperlink" Target="mailto:pasts@mk.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2841</Words>
  <Characters>1620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Kalnača</dc:creator>
  <cp:keywords/>
  <dc:description/>
  <cp:lastModifiedBy>Sanita Kalnača</cp:lastModifiedBy>
  <cp:revision>2</cp:revision>
  <dcterms:created xsi:type="dcterms:W3CDTF">2025-04-25T11:33:00Z</dcterms:created>
  <dcterms:modified xsi:type="dcterms:W3CDTF">2025-04-25T11:33:00Z</dcterms:modified>
</cp:coreProperties>
</file>