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F6544" w14:textId="57493CE8" w:rsidR="00E733C4" w:rsidRPr="00E11C8A" w:rsidRDefault="009A1904" w:rsidP="007E4151">
      <w:pPr>
        <w:pStyle w:val="Heading1"/>
        <w:jc w:val="both"/>
        <w:rPr>
          <w:lang w:val="lv-LV"/>
        </w:rPr>
      </w:pPr>
      <w:r w:rsidRPr="00E11C8A">
        <w:rPr>
          <w:lang w:val="lv-LV"/>
        </w:rPr>
        <w:t>Pielikums</w:t>
      </w:r>
      <w:r w:rsidR="00023CEA">
        <w:rPr>
          <w:lang w:val="lv-LV"/>
        </w:rPr>
        <w:t xml:space="preserve"> nr.</w:t>
      </w:r>
      <w:r w:rsidR="001643BD">
        <w:rPr>
          <w:lang w:val="lv-LV"/>
        </w:rPr>
        <w:t xml:space="preserve"> </w:t>
      </w:r>
      <w:r w:rsidR="00023CEA">
        <w:rPr>
          <w:lang w:val="lv-LV"/>
        </w:rPr>
        <w:t>1</w:t>
      </w:r>
    </w:p>
    <w:p w14:paraId="48DC2E35" w14:textId="58FBC5DE" w:rsidR="009A1904" w:rsidRPr="00E11C8A" w:rsidRDefault="00E25F87" w:rsidP="007E4151">
      <w:pPr>
        <w:pStyle w:val="Heading2"/>
        <w:jc w:val="both"/>
        <w:rPr>
          <w:lang w:val="lv-LV"/>
        </w:rPr>
      </w:pPr>
      <w:r w:rsidRPr="00E11C8A">
        <w:rPr>
          <w:lang w:val="lv-LV"/>
        </w:rPr>
        <w:t>Izmantotās literatūras saraksts</w:t>
      </w:r>
    </w:p>
    <w:p w14:paraId="2089E6A8" w14:textId="7292FB05" w:rsidR="006F03BC" w:rsidRDefault="006F03BC" w:rsidP="007E4151">
      <w:pPr>
        <w:jc w:val="both"/>
        <w:rPr>
          <w:lang w:val="lv-LV"/>
        </w:rPr>
      </w:pPr>
      <w:r w:rsidRPr="006F03BC">
        <w:rPr>
          <w:lang w:val="lv-LV"/>
        </w:rPr>
        <w:t>Adler M. D., Posner E. A. (2006). New foundations of cost-benefit analysis. Harvard University Press.</w:t>
      </w:r>
    </w:p>
    <w:p w14:paraId="173AC1E9" w14:textId="6E629AEE" w:rsidR="008B4EFB" w:rsidRDefault="008B4EFB" w:rsidP="007E4151">
      <w:pPr>
        <w:jc w:val="both"/>
        <w:rPr>
          <w:lang w:val="lv-LV"/>
        </w:rPr>
      </w:pPr>
      <w:r w:rsidRPr="008B4EFB">
        <w:rPr>
          <w:lang w:val="lv-LV"/>
        </w:rPr>
        <w:t>Boardman A. E., Greenberg D. H., Vining A. R., Weimer D. L. (2018). Cost-benefit analysis: concepts and practice. Cambridge University Press</w:t>
      </w:r>
      <w:r w:rsidR="00D7496A">
        <w:rPr>
          <w:lang w:val="lv-LV"/>
        </w:rPr>
        <w:t xml:space="preserve">. Saite: </w:t>
      </w:r>
      <w:hyperlink r:id="rId12" w:history="1">
        <w:r w:rsidR="00D7496A" w:rsidRPr="00271C65">
          <w:rPr>
            <w:rStyle w:val="Hyperlink"/>
            <w:lang w:val="lv-LV"/>
          </w:rPr>
          <w:t>https://students.aiu.edu/submissions/profiles/resources/onlineBook/E5V5H3_Cost-benefit%20analysis%20_%202018.pdf</w:t>
        </w:r>
      </w:hyperlink>
      <w:r w:rsidR="00D7496A">
        <w:rPr>
          <w:lang w:val="lv-LV"/>
        </w:rPr>
        <w:t xml:space="preserve"> </w:t>
      </w:r>
    </w:p>
    <w:p w14:paraId="3B0829C9" w14:textId="53A94A08" w:rsidR="002257D3" w:rsidRPr="00E11C8A" w:rsidRDefault="00715381" w:rsidP="007E4151">
      <w:pPr>
        <w:jc w:val="both"/>
        <w:rPr>
          <w:lang w:val="lv-LV"/>
        </w:rPr>
      </w:pPr>
      <w:r w:rsidRPr="00715381">
        <w:rPr>
          <w:lang w:val="lv-LV"/>
        </w:rPr>
        <w:t>Clement, S., Moore, S. A., Lockwood, M., &amp; Mitchell, M. (2017). Fit-for-purpose institutions? An evaluation of biodiversity conservation in the agricultural landscape of the Tasmanian Midlands, Australia. Journal of Environmental Policy &amp; Planning, 19(2), 135-155.</w:t>
      </w:r>
      <w:r>
        <w:rPr>
          <w:lang w:val="lv-LV"/>
        </w:rPr>
        <w:t xml:space="preserve"> </w:t>
      </w:r>
    </w:p>
    <w:p w14:paraId="6A24B289" w14:textId="7379DB24" w:rsidR="000F1A94" w:rsidRDefault="000F1A94" w:rsidP="007E4151">
      <w:pPr>
        <w:jc w:val="both"/>
        <w:rPr>
          <w:lang w:val="lv-LV"/>
        </w:rPr>
      </w:pPr>
      <w:r w:rsidRPr="000F1A94">
        <w:rPr>
          <w:lang w:val="lv-LV"/>
        </w:rPr>
        <w:t xml:space="preserve">Communities and Local Government. (2009). Multi-citeria analysis:a manulat. </w:t>
      </w:r>
      <w:r>
        <w:rPr>
          <w:lang w:val="lv-LV"/>
        </w:rPr>
        <w:t xml:space="preserve">Saite: </w:t>
      </w:r>
      <w:hyperlink r:id="rId13" w:history="1">
        <w:r w:rsidR="004E5F36" w:rsidRPr="00271C65">
          <w:rPr>
            <w:rStyle w:val="Hyperlink"/>
            <w:lang w:val="lv-LV"/>
          </w:rPr>
          <w:t>https://www.oecd.org/content/dam/oecd/en/publications/reports/2009/09/regulatory-impact-analysis_g1ghb202/9789264067110-en.pdf</w:t>
        </w:r>
      </w:hyperlink>
      <w:r w:rsidR="004E5F36">
        <w:rPr>
          <w:lang w:val="lv-LV"/>
        </w:rPr>
        <w:t xml:space="preserve"> </w:t>
      </w:r>
    </w:p>
    <w:p w14:paraId="41B65C34" w14:textId="0156631B" w:rsidR="00792F4D" w:rsidRDefault="00792F4D" w:rsidP="007E4151">
      <w:pPr>
        <w:jc w:val="both"/>
        <w:rPr>
          <w:lang w:val="lv-LV"/>
        </w:rPr>
      </w:pPr>
      <w:r w:rsidRPr="00792F4D">
        <w:rPr>
          <w:lang w:val="lv-LV"/>
        </w:rPr>
        <w:t>Creswell, J. W., &amp; Plano Clark, V. L. (2017). Designing and Conducting Mixed Methods Research (3rd ed.). SAGE Publications.</w:t>
      </w:r>
    </w:p>
    <w:p w14:paraId="7285F2BD" w14:textId="17BE38D2" w:rsidR="00537208" w:rsidRDefault="00537208" w:rsidP="007E4151">
      <w:pPr>
        <w:jc w:val="both"/>
        <w:rPr>
          <w:rFonts w:cs="Times New Roman"/>
          <w:szCs w:val="18"/>
        </w:rPr>
      </w:pPr>
      <w:r w:rsidRPr="00DB7B4D">
        <w:rPr>
          <w:lang w:val="lv-LV"/>
        </w:rPr>
        <w:t>Dunlop, C. A., &amp; Radaelli, C. M. (2015). Impact assessment in the European Union: Lessons from a research project. European Journal of Risk Regulation, 6(1), 27-34</w:t>
      </w:r>
    </w:p>
    <w:p w14:paraId="7DE57EF2" w14:textId="2AB436A1" w:rsidR="00D33C36" w:rsidRDefault="00D33C36" w:rsidP="007E4151">
      <w:pPr>
        <w:jc w:val="both"/>
        <w:rPr>
          <w:rFonts w:cs="Times New Roman"/>
          <w:szCs w:val="18"/>
        </w:rPr>
      </w:pPr>
      <w:r w:rsidRPr="00FE4FA1">
        <w:rPr>
          <w:rFonts w:cs="Times New Roman"/>
          <w:szCs w:val="18"/>
        </w:rPr>
        <w:t>European Commission (20</w:t>
      </w:r>
      <w:r w:rsidR="0045255C">
        <w:rPr>
          <w:rFonts w:cs="Times New Roman"/>
          <w:szCs w:val="18"/>
        </w:rPr>
        <w:t>21</w:t>
      </w:r>
      <w:r w:rsidRPr="00FE4FA1">
        <w:rPr>
          <w:rFonts w:cs="Times New Roman"/>
          <w:szCs w:val="18"/>
        </w:rPr>
        <w:t>). Better Regulation Guidelines. Brussels: European Commission.</w:t>
      </w:r>
      <w:r w:rsidR="00B622D1">
        <w:rPr>
          <w:rFonts w:cs="Times New Roman"/>
          <w:szCs w:val="18"/>
        </w:rPr>
        <w:t xml:space="preserve"> Saite: </w:t>
      </w:r>
      <w:hyperlink r:id="rId14" w:history="1">
        <w:r w:rsidR="00B622D1" w:rsidRPr="00271C65">
          <w:rPr>
            <w:rStyle w:val="Hyperlink"/>
            <w:rFonts w:cs="Times New Roman"/>
            <w:szCs w:val="18"/>
          </w:rPr>
          <w:t>https://commission.europa.eu/law/law-making-process/better-regulation/better-regulation-guidelines-and-toolbox_en</w:t>
        </w:r>
      </w:hyperlink>
      <w:r w:rsidR="00B622D1">
        <w:rPr>
          <w:rFonts w:cs="Times New Roman"/>
          <w:szCs w:val="18"/>
        </w:rPr>
        <w:t xml:space="preserve"> </w:t>
      </w:r>
    </w:p>
    <w:p w14:paraId="7CDBA2AC" w14:textId="5180B2C2" w:rsidR="00D927D5" w:rsidRDefault="00DD732C" w:rsidP="007E4151">
      <w:pPr>
        <w:jc w:val="both"/>
        <w:rPr>
          <w:lang w:val="lv-LV"/>
        </w:rPr>
      </w:pPr>
      <w:r w:rsidRPr="00DD732C">
        <w:rPr>
          <w:lang w:val="lv-LV"/>
        </w:rPr>
        <w:t xml:space="preserve">Financial Conduct Authority. (2018). Ex post impact evaluation framework. </w:t>
      </w:r>
      <w:r>
        <w:rPr>
          <w:lang w:val="lv-LV"/>
        </w:rPr>
        <w:t xml:space="preserve">Saite: </w:t>
      </w:r>
      <w:hyperlink r:id="rId15" w:history="1">
        <w:r w:rsidR="00537208" w:rsidRPr="00271C65">
          <w:rPr>
            <w:rStyle w:val="Hyperlink"/>
            <w:lang w:val="lv-LV"/>
          </w:rPr>
          <w:t>https://www.fca.org.uk/publication/corporate/ex-post-impact-evaluation-framework.pdf</w:t>
        </w:r>
      </w:hyperlink>
    </w:p>
    <w:p w14:paraId="68801519" w14:textId="0A151C1B" w:rsidR="00B9036F" w:rsidRDefault="00B9036F" w:rsidP="007E4151">
      <w:pPr>
        <w:jc w:val="both"/>
        <w:rPr>
          <w:lang w:val="lv-LV"/>
        </w:rPr>
      </w:pPr>
      <w:r w:rsidRPr="00B9036F">
        <w:rPr>
          <w:lang w:val="lv-LV"/>
        </w:rPr>
        <w:t>Global Evaluation Initiative</w:t>
      </w:r>
      <w:r>
        <w:rPr>
          <w:lang w:val="lv-LV"/>
        </w:rPr>
        <w:t xml:space="preserve">. </w:t>
      </w:r>
      <w:r w:rsidR="00D8076F" w:rsidRPr="00D8076F">
        <w:rPr>
          <w:lang w:val="lv-LV"/>
        </w:rPr>
        <w:t>Evaluation Methods and Approaches</w:t>
      </w:r>
      <w:r w:rsidR="00D8076F">
        <w:rPr>
          <w:lang w:val="lv-LV"/>
        </w:rPr>
        <w:t xml:space="preserve">. Saite: </w:t>
      </w:r>
      <w:hyperlink r:id="rId16" w:history="1">
        <w:r w:rsidR="00131FEE" w:rsidRPr="00271C65">
          <w:rPr>
            <w:rStyle w:val="Hyperlink"/>
            <w:lang w:val="lv-LV"/>
          </w:rPr>
          <w:t>https://www.betterevaluation.org/methods-approaches</w:t>
        </w:r>
      </w:hyperlink>
      <w:r w:rsidR="00131FEE">
        <w:rPr>
          <w:lang w:val="lv-LV"/>
        </w:rPr>
        <w:t xml:space="preserve"> </w:t>
      </w:r>
    </w:p>
    <w:p w14:paraId="7F63984E" w14:textId="7E8A928B" w:rsidR="00537208" w:rsidRDefault="00537208" w:rsidP="007E4151">
      <w:pPr>
        <w:jc w:val="both"/>
        <w:rPr>
          <w:lang w:val="lv-LV"/>
        </w:rPr>
      </w:pPr>
      <w:r w:rsidRPr="00FE4FA1">
        <w:rPr>
          <w:rFonts w:cs="Times New Roman"/>
          <w:szCs w:val="18"/>
        </w:rPr>
        <w:t>HM Treasury. (2020). Magenta Book. Central Government guidance on evaluation</w:t>
      </w:r>
      <w:r w:rsidR="00742546">
        <w:rPr>
          <w:rFonts w:cs="Times New Roman"/>
          <w:szCs w:val="18"/>
        </w:rPr>
        <w:t xml:space="preserve">. Saite: </w:t>
      </w:r>
      <w:hyperlink r:id="rId17" w:history="1">
        <w:r w:rsidR="00742546" w:rsidRPr="00271C65">
          <w:rPr>
            <w:rStyle w:val="Hyperlink"/>
            <w:rFonts w:cs="Times New Roman"/>
            <w:szCs w:val="18"/>
          </w:rPr>
          <w:t>https://assets.publishing.service.gov.uk/media/5e96cab9d3bf7f412b2264b1/HMT_Magenta_Book.pdf</w:t>
        </w:r>
      </w:hyperlink>
      <w:r w:rsidR="00742546">
        <w:rPr>
          <w:rFonts w:cs="Times New Roman"/>
          <w:szCs w:val="18"/>
        </w:rPr>
        <w:t xml:space="preserve"> </w:t>
      </w:r>
    </w:p>
    <w:p w14:paraId="2A36849D" w14:textId="16A38005" w:rsidR="00ED253A" w:rsidRDefault="00ED253A" w:rsidP="007E4151">
      <w:pPr>
        <w:jc w:val="both"/>
        <w:rPr>
          <w:lang w:val="lv-LV"/>
        </w:rPr>
      </w:pPr>
      <w:r w:rsidRPr="00ED253A">
        <w:rPr>
          <w:lang w:val="lv-LV"/>
        </w:rPr>
        <w:t>Howlett, M. (2019). Designing public policies: Principles and instruments. Routledge.</w:t>
      </w:r>
    </w:p>
    <w:p w14:paraId="5D1E9D77" w14:textId="316BB248" w:rsidR="002257BE" w:rsidRDefault="002257BE" w:rsidP="001411F6">
      <w:pPr>
        <w:jc w:val="both"/>
        <w:rPr>
          <w:lang w:val="lv-LV"/>
        </w:rPr>
      </w:pPr>
      <w:r>
        <w:rPr>
          <w:lang w:val="lv-LV"/>
        </w:rPr>
        <w:t>Latvijas Republikas Saeima. (2024).</w:t>
      </w:r>
      <w:r w:rsidR="001411F6" w:rsidRPr="001411F6">
        <w:rPr>
          <w:lang w:val="lv-LV"/>
        </w:rPr>
        <w:t>kādi faktori kavē efektīvu tiesību aktu un rīcībpolitiku ex-post</w:t>
      </w:r>
      <w:r w:rsidR="001411F6">
        <w:rPr>
          <w:lang w:val="lv-LV"/>
        </w:rPr>
        <w:t xml:space="preserve"> </w:t>
      </w:r>
      <w:r w:rsidR="001411F6" w:rsidRPr="001411F6">
        <w:rPr>
          <w:lang w:val="lv-LV"/>
        </w:rPr>
        <w:t>izvērtēšanu Latvijā?</w:t>
      </w:r>
      <w:r>
        <w:rPr>
          <w:lang w:val="lv-LV"/>
        </w:rPr>
        <w:t xml:space="preserve"> </w:t>
      </w:r>
      <w:r w:rsidR="001411F6">
        <w:rPr>
          <w:lang w:val="lv-LV"/>
        </w:rPr>
        <w:t xml:space="preserve">Saite: </w:t>
      </w:r>
      <w:hyperlink r:id="rId18" w:history="1">
        <w:r w:rsidR="004C1002" w:rsidRPr="00271C65">
          <w:rPr>
            <w:rStyle w:val="Hyperlink"/>
            <w:lang w:val="lv-LV"/>
          </w:rPr>
          <w:t>https://www.saeima.lv/petijumi/Kadi_faktori_kave_efektivu_tiesibu_aktu_un_ricibpolitiku_ex_post_izvertesanu_LV.pdf</w:t>
        </w:r>
      </w:hyperlink>
      <w:r w:rsidR="004C1002">
        <w:rPr>
          <w:lang w:val="lv-LV"/>
        </w:rPr>
        <w:t xml:space="preserve"> </w:t>
      </w:r>
    </w:p>
    <w:p w14:paraId="2C2BEFC2" w14:textId="4C9DCF18" w:rsidR="00921CDF" w:rsidRDefault="00921CDF" w:rsidP="007E4151">
      <w:pPr>
        <w:jc w:val="both"/>
        <w:rPr>
          <w:lang w:val="lv-LV"/>
        </w:rPr>
      </w:pPr>
      <w:r w:rsidRPr="00921CDF">
        <w:rPr>
          <w:lang w:val="lv-LV"/>
        </w:rPr>
        <w:t xml:space="preserve">Ministru kabineta 2016. gada 31. augusta rīkojums Nr. 495 "Par konceptuālo ziņojumu "Ietekmes pēcpārbaudes ieviešana"". </w:t>
      </w:r>
      <w:r>
        <w:rPr>
          <w:lang w:val="lv-LV"/>
        </w:rPr>
        <w:t xml:space="preserve">Saite: </w:t>
      </w:r>
      <w:r w:rsidRPr="00921CDF">
        <w:rPr>
          <w:lang w:val="lv-LV"/>
        </w:rPr>
        <w:t>https://likumi.lv/ta/id/284502</w:t>
      </w:r>
    </w:p>
    <w:p w14:paraId="7F327F9C" w14:textId="54A1954E" w:rsidR="00171C0B" w:rsidRDefault="00171C0B" w:rsidP="007E4151">
      <w:pPr>
        <w:jc w:val="both"/>
        <w:rPr>
          <w:lang w:val="lv-LV"/>
        </w:rPr>
      </w:pPr>
      <w:r w:rsidRPr="00FE0CCB">
        <w:rPr>
          <w:lang w:val="lv-LV"/>
        </w:rPr>
        <w:t>Ministru kabineta 2021. gada 7. septembra noteikumi Nr. 617 "Tiesību akta projekta sākotnējās ietekmes izvērtēšanas kārtība"</w:t>
      </w:r>
      <w:r w:rsidR="00387D4F">
        <w:rPr>
          <w:lang w:val="lv-LV"/>
        </w:rPr>
        <w:t xml:space="preserve">. </w:t>
      </w:r>
      <w:r w:rsidR="00B20A87">
        <w:rPr>
          <w:lang w:val="lv-LV"/>
        </w:rPr>
        <w:t>Saite:</w:t>
      </w:r>
      <w:r w:rsidR="00B20A87" w:rsidRPr="00B20A87">
        <w:rPr>
          <w:lang w:val="lv-LV"/>
        </w:rPr>
        <w:t xml:space="preserve"> </w:t>
      </w:r>
      <w:hyperlink r:id="rId19" w:history="1">
        <w:r w:rsidR="00B20A87" w:rsidRPr="00271C65">
          <w:rPr>
            <w:rStyle w:val="Hyperlink"/>
            <w:lang w:val="lv-LV"/>
          </w:rPr>
          <w:t>https://likumi.lv/ta/id/325945</w:t>
        </w:r>
      </w:hyperlink>
      <w:r w:rsidR="00B20A87">
        <w:rPr>
          <w:lang w:val="lv-LV"/>
        </w:rPr>
        <w:t xml:space="preserve"> </w:t>
      </w:r>
    </w:p>
    <w:p w14:paraId="4F567A48" w14:textId="40C921B8" w:rsidR="00171C0B" w:rsidRDefault="00171C0B" w:rsidP="007E4151">
      <w:pPr>
        <w:jc w:val="both"/>
      </w:pPr>
      <w:r w:rsidRPr="0022656A">
        <w:lastRenderedPageBreak/>
        <w:t xml:space="preserve">Ministru kabineta 2021. gada 7. septembra noteikumi Nr. 606 "Ministru kabineta kārtības rullis". </w:t>
      </w:r>
      <w:r>
        <w:t xml:space="preserve">Saite: </w:t>
      </w:r>
      <w:hyperlink r:id="rId20" w:history="1">
        <w:r w:rsidR="00921CDF" w:rsidRPr="00271C65">
          <w:rPr>
            <w:rStyle w:val="Hyperlink"/>
          </w:rPr>
          <w:t>https://likumi.lv/ta/id/325944</w:t>
        </w:r>
      </w:hyperlink>
      <w:r>
        <w:t xml:space="preserve"> </w:t>
      </w:r>
    </w:p>
    <w:p w14:paraId="3AA39E31" w14:textId="77777777" w:rsidR="00921CDF" w:rsidRDefault="00921CDF" w:rsidP="00921CDF">
      <w:pPr>
        <w:jc w:val="both"/>
        <w:rPr>
          <w:lang w:val="lv-LV"/>
        </w:rPr>
      </w:pPr>
      <w:r w:rsidRPr="00E11C8A">
        <w:rPr>
          <w:lang w:val="lv-LV"/>
        </w:rPr>
        <w:t>Ministru kabineta 2023. gada 8. maija rīkojums Nr. 240 “Par Valsts pārvaldes modernizācijas plānu 2023.–2027. gadam”.</w:t>
      </w:r>
      <w:r>
        <w:rPr>
          <w:lang w:val="lv-LV"/>
        </w:rPr>
        <w:t xml:space="preserve"> Saite:</w:t>
      </w:r>
      <w:r w:rsidRPr="00E11C8A">
        <w:rPr>
          <w:lang w:val="lv-LV"/>
        </w:rPr>
        <w:t xml:space="preserve"> </w:t>
      </w:r>
      <w:hyperlink r:id="rId21" w:history="1">
        <w:r w:rsidRPr="00271C65">
          <w:rPr>
            <w:rStyle w:val="Hyperlink"/>
            <w:lang w:val="lv-LV"/>
          </w:rPr>
          <w:t>https://likumi.lv/ta/id/341706</w:t>
        </w:r>
      </w:hyperlink>
    </w:p>
    <w:p w14:paraId="041BE0FA" w14:textId="74A5D59D" w:rsidR="00792F4D" w:rsidRPr="00792F4D" w:rsidRDefault="00792F4D" w:rsidP="007E4151">
      <w:pPr>
        <w:jc w:val="both"/>
        <w:rPr>
          <w:lang w:val="lv-LV"/>
        </w:rPr>
      </w:pPr>
      <w:r w:rsidRPr="00792F4D">
        <w:rPr>
          <w:lang w:val="lv-LV"/>
        </w:rPr>
        <w:t>Newcomer K. E., Hatry, H. P., Wholey, J. S. (2015). Handbook of practical program evaluation. John Wiley &amp; Sons.</w:t>
      </w:r>
      <w:r w:rsidR="002A3F73">
        <w:rPr>
          <w:lang w:val="lv-LV"/>
        </w:rPr>
        <w:t xml:space="preserve"> Saite: </w:t>
      </w:r>
      <w:hyperlink r:id="rId22" w:history="1">
        <w:r w:rsidR="002A3F73" w:rsidRPr="00271C65">
          <w:rPr>
            <w:rStyle w:val="Hyperlink"/>
            <w:lang w:val="lv-LV"/>
          </w:rPr>
          <w:t>https://onlinelibrary.wiley.com/doi/book/10.1002/9781119171386</w:t>
        </w:r>
      </w:hyperlink>
      <w:r w:rsidR="002A3F73">
        <w:rPr>
          <w:lang w:val="lv-LV"/>
        </w:rPr>
        <w:t xml:space="preserve"> </w:t>
      </w:r>
    </w:p>
    <w:p w14:paraId="4AB6045E" w14:textId="0782229A" w:rsidR="00D77417" w:rsidRDefault="00D77417" w:rsidP="007E4151">
      <w:pPr>
        <w:jc w:val="both"/>
        <w:rPr>
          <w:lang w:val="lv-LV"/>
        </w:rPr>
      </w:pPr>
      <w:r w:rsidRPr="00C828AB">
        <w:t>OECD</w:t>
      </w:r>
      <w:r>
        <w:t>.</w:t>
      </w:r>
      <w:r w:rsidRPr="00C828AB">
        <w:t xml:space="preserve"> (2009)</w:t>
      </w:r>
      <w:r>
        <w:t>.</w:t>
      </w:r>
      <w:r w:rsidRPr="00C828AB">
        <w:t> Regulatory Impact Analysis: A Tool for Policy Coherence, OECD Reviews of Regulatory Reform, OECD Publishing, Paris</w:t>
      </w:r>
      <w:r>
        <w:t>. Saite</w:t>
      </w:r>
      <w:r w:rsidR="00D66C1B">
        <w:t xml:space="preserve">: </w:t>
      </w:r>
      <w:r w:rsidR="00D66C1B" w:rsidRPr="00D66C1B">
        <w:t>https://www.oecd.org/content/dam/oecd/en/publications/reports/2009/09/regulatory-impact-analysis_g1ghb202/9789264067110-en.pdf</w:t>
      </w:r>
    </w:p>
    <w:p w14:paraId="57F4E6FA" w14:textId="11E81E4A" w:rsidR="00903C0C" w:rsidRDefault="00903C0C" w:rsidP="007E4151">
      <w:pPr>
        <w:jc w:val="both"/>
        <w:rPr>
          <w:lang w:val="lv-LV"/>
        </w:rPr>
      </w:pPr>
      <w:r w:rsidRPr="00FE4FA1">
        <w:rPr>
          <w:rFonts w:cs="Times New Roman"/>
          <w:szCs w:val="18"/>
        </w:rPr>
        <w:t xml:space="preserve">OECD. </w:t>
      </w:r>
      <w:r>
        <w:rPr>
          <w:rFonts w:cs="Times New Roman"/>
          <w:szCs w:val="18"/>
        </w:rPr>
        <w:t xml:space="preserve">(2010). </w:t>
      </w:r>
      <w:r w:rsidRPr="007E7FB2">
        <w:rPr>
          <w:rFonts w:cs="Times New Roman"/>
          <w:szCs w:val="18"/>
        </w:rPr>
        <w:t>Quality Standards for Development Evaluation</w:t>
      </w:r>
      <w:r w:rsidRPr="00FE4FA1">
        <w:rPr>
          <w:rFonts w:cs="Times New Roman"/>
          <w:szCs w:val="18"/>
        </w:rPr>
        <w:t xml:space="preserve">. </w:t>
      </w:r>
      <w:r>
        <w:rPr>
          <w:rFonts w:cs="Times New Roman"/>
          <w:szCs w:val="18"/>
        </w:rPr>
        <w:t xml:space="preserve">Saite: </w:t>
      </w:r>
      <w:hyperlink r:id="rId23" w:history="1">
        <w:r w:rsidRPr="00271C65">
          <w:rPr>
            <w:rStyle w:val="Hyperlink"/>
            <w:rFonts w:cs="Times New Roman"/>
            <w:szCs w:val="18"/>
          </w:rPr>
          <w:t>https://www.oecd.org/en/publications/2010/02/quality-standards-for-development-evaluation_g1ghc6e7.html</w:t>
        </w:r>
      </w:hyperlink>
      <w:r>
        <w:rPr>
          <w:rFonts w:cs="Times New Roman"/>
          <w:szCs w:val="18"/>
        </w:rPr>
        <w:t xml:space="preserve"> </w:t>
      </w:r>
    </w:p>
    <w:p w14:paraId="587009A4" w14:textId="505F9830" w:rsidR="00813F6C" w:rsidRPr="00DB7B4D" w:rsidRDefault="00813F6C" w:rsidP="007E4151">
      <w:pPr>
        <w:jc w:val="both"/>
        <w:rPr>
          <w:lang w:val="lv-LV"/>
        </w:rPr>
      </w:pPr>
      <w:r w:rsidRPr="00DB7B4D">
        <w:rPr>
          <w:lang w:val="lv-LV"/>
        </w:rPr>
        <w:t>OECD. (2012). Recommendation of the Council on Regulatory Policy and Governance, OECD Publishing, Paris</w:t>
      </w:r>
      <w:r w:rsidR="00FF4336">
        <w:rPr>
          <w:lang w:val="lv-LV"/>
        </w:rPr>
        <w:t xml:space="preserve">. Saite: </w:t>
      </w:r>
      <w:hyperlink r:id="rId24" w:history="1">
        <w:r w:rsidR="00FF4336" w:rsidRPr="00271C65">
          <w:rPr>
            <w:rStyle w:val="Hyperlink"/>
            <w:lang w:val="lv-LV"/>
          </w:rPr>
          <w:t>https://www.oecd.org/en/publications/2012/11/recommendation-of-the-council-on-regulatory-policy-and-governance_g1g3fce5.html</w:t>
        </w:r>
      </w:hyperlink>
      <w:r w:rsidR="00FF4336">
        <w:rPr>
          <w:lang w:val="lv-LV"/>
        </w:rPr>
        <w:t xml:space="preserve"> </w:t>
      </w:r>
    </w:p>
    <w:p w14:paraId="3CB61508" w14:textId="69D4F01E" w:rsidR="008A26F5" w:rsidRPr="00DB7B4D" w:rsidRDefault="00813F6C" w:rsidP="007E4151">
      <w:pPr>
        <w:jc w:val="both"/>
        <w:rPr>
          <w:lang w:val="lv-LV"/>
        </w:rPr>
      </w:pPr>
      <w:r w:rsidRPr="00DB7B4D">
        <w:rPr>
          <w:lang w:val="lv-LV"/>
        </w:rPr>
        <w:t>OECD. (2012).  Evaluating Laws and Regulations: The Case of the Chilean Chamber of Deputies. OECD Publishing, Paris.</w:t>
      </w:r>
      <w:r w:rsidR="008A26F5">
        <w:rPr>
          <w:lang w:val="lv-LV"/>
        </w:rPr>
        <w:t xml:space="preserve"> Saite: </w:t>
      </w:r>
      <w:hyperlink r:id="rId25" w:history="1">
        <w:r w:rsidR="008A26F5" w:rsidRPr="00271C65">
          <w:rPr>
            <w:rStyle w:val="Hyperlink"/>
            <w:lang w:val="lv-LV"/>
          </w:rPr>
          <w:t>https://www.oecd.org/content/dam/oecd/en/publications/reports/2012/05/evaluating-laws-and-regulations_g1g1d0e4/9789264176263-en.pdf</w:t>
        </w:r>
      </w:hyperlink>
      <w:r w:rsidR="008A26F5">
        <w:rPr>
          <w:lang w:val="lv-LV"/>
        </w:rPr>
        <w:t xml:space="preserve"> </w:t>
      </w:r>
    </w:p>
    <w:p w14:paraId="382DAFE5" w14:textId="40B300F7" w:rsidR="00336B02" w:rsidRDefault="00336B02" w:rsidP="007E4151">
      <w:pPr>
        <w:jc w:val="both"/>
        <w:rPr>
          <w:rFonts w:cs="Times New Roman"/>
          <w:szCs w:val="18"/>
        </w:rPr>
      </w:pPr>
      <w:r w:rsidRPr="00FE4FA1">
        <w:rPr>
          <w:rFonts w:cs="Times New Roman"/>
          <w:szCs w:val="18"/>
        </w:rPr>
        <w:t>OECD. (2015). Regulatory Policy in Perspective: A Reader's Companion to the OECD Regulatory Policy Outlook 2015. OECD Publishing, Paris</w:t>
      </w:r>
      <w:r>
        <w:rPr>
          <w:rFonts w:cs="Times New Roman"/>
          <w:szCs w:val="18"/>
        </w:rPr>
        <w:t xml:space="preserve">. </w:t>
      </w:r>
      <w:r w:rsidR="00CF7B21">
        <w:rPr>
          <w:rFonts w:cs="Times New Roman"/>
          <w:szCs w:val="18"/>
        </w:rPr>
        <w:t xml:space="preserve">Saite: </w:t>
      </w:r>
      <w:hyperlink r:id="rId26" w:history="1">
        <w:r w:rsidR="00CF7B21" w:rsidRPr="00271C65">
          <w:rPr>
            <w:rStyle w:val="Hyperlink"/>
            <w:rFonts w:cs="Times New Roman"/>
            <w:szCs w:val="18"/>
          </w:rPr>
          <w:t>https://www.oecd.org/en/publications/regulatory-policy-in-perspective_9789264241800-en.html</w:t>
        </w:r>
      </w:hyperlink>
      <w:r w:rsidR="00CF7B21">
        <w:rPr>
          <w:rFonts w:cs="Times New Roman"/>
          <w:szCs w:val="18"/>
        </w:rPr>
        <w:t xml:space="preserve"> </w:t>
      </w:r>
    </w:p>
    <w:p w14:paraId="3F2994FA" w14:textId="197EFFF2" w:rsidR="00FF4336" w:rsidRDefault="00FF4336" w:rsidP="007E4151">
      <w:pPr>
        <w:jc w:val="both"/>
        <w:rPr>
          <w:lang w:val="lv-LV"/>
        </w:rPr>
      </w:pPr>
      <w:r w:rsidRPr="00DB7B4D">
        <w:rPr>
          <w:lang w:val="lv-LV"/>
        </w:rPr>
        <w:t>OECD. (2020). Regulatory Impact Assessment, OECD Best Practice Principles for Regulatory Policy, OECD Publishing, Paris</w:t>
      </w:r>
      <w:r w:rsidR="00C975C1">
        <w:rPr>
          <w:lang w:val="lv-LV"/>
        </w:rPr>
        <w:t xml:space="preserve">. Saite: </w:t>
      </w:r>
      <w:hyperlink r:id="rId27" w:history="1">
        <w:r w:rsidR="00C975C1" w:rsidRPr="00271C65">
          <w:rPr>
            <w:rStyle w:val="Hyperlink"/>
            <w:lang w:val="lv-LV"/>
          </w:rPr>
          <w:t>https://www.oecd.org/en/publications/2020/02/regulatory-impact-assessment_0bf78a03.html</w:t>
        </w:r>
      </w:hyperlink>
      <w:r w:rsidR="00C975C1">
        <w:rPr>
          <w:lang w:val="lv-LV"/>
        </w:rPr>
        <w:t xml:space="preserve"> </w:t>
      </w:r>
    </w:p>
    <w:p w14:paraId="699624C8" w14:textId="22976BA1" w:rsidR="00294A09" w:rsidRDefault="00294A09" w:rsidP="007E4151">
      <w:pPr>
        <w:jc w:val="both"/>
        <w:rPr>
          <w:lang w:val="lv-LV"/>
        </w:rPr>
      </w:pPr>
      <w:r>
        <w:rPr>
          <w:lang w:val="lv-LV"/>
        </w:rPr>
        <w:t>OECD. (2022).</w:t>
      </w:r>
      <w:r w:rsidR="00AC15BF" w:rsidRPr="00AC15BF">
        <w:rPr>
          <w:lang w:val="lv-LV"/>
        </w:rPr>
        <w:t>Better Regulation Practices across the European Union 2022</w:t>
      </w:r>
      <w:r w:rsidR="00AC15BF">
        <w:rPr>
          <w:lang w:val="lv-LV"/>
        </w:rPr>
        <w:t xml:space="preserve">. Saite: </w:t>
      </w:r>
      <w:hyperlink r:id="rId28" w:history="1">
        <w:r w:rsidR="00B769FB" w:rsidRPr="00271C65">
          <w:rPr>
            <w:rStyle w:val="Hyperlink"/>
            <w:lang w:val="lv-LV"/>
          </w:rPr>
          <w:t>https://www.oecd.org/en/publications/better-regulation-practices-across-the-european-union-2022_6e4b095d-en/full-report.html</w:t>
        </w:r>
      </w:hyperlink>
      <w:r w:rsidR="00B769FB">
        <w:rPr>
          <w:lang w:val="lv-LV"/>
        </w:rPr>
        <w:t xml:space="preserve"> </w:t>
      </w:r>
    </w:p>
    <w:p w14:paraId="7FBDC7D2" w14:textId="62C3C021" w:rsidR="00977026" w:rsidRDefault="00977026" w:rsidP="007E4151">
      <w:pPr>
        <w:jc w:val="both"/>
        <w:rPr>
          <w:rFonts w:cs="Times New Roman"/>
          <w:szCs w:val="18"/>
          <w:lang w:val="en-GB"/>
        </w:rPr>
      </w:pPr>
      <w:r>
        <w:rPr>
          <w:rFonts w:cs="Times New Roman"/>
          <w:szCs w:val="18"/>
          <w:lang w:val="en-GB"/>
        </w:rPr>
        <w:t xml:space="preserve">OECD. (2023). </w:t>
      </w:r>
      <w:r w:rsidR="00183743" w:rsidRPr="00183743">
        <w:rPr>
          <w:rFonts w:cs="Times New Roman"/>
          <w:szCs w:val="18"/>
          <w:lang w:val="en-GB"/>
        </w:rPr>
        <w:t>Government at a Glance 2023</w:t>
      </w:r>
      <w:r w:rsidR="00183743">
        <w:rPr>
          <w:rFonts w:cs="Times New Roman"/>
          <w:szCs w:val="18"/>
          <w:lang w:val="en-GB"/>
        </w:rPr>
        <w:t xml:space="preserve">. Saite: </w:t>
      </w:r>
      <w:r w:rsidR="007619FB" w:rsidRPr="007619FB">
        <w:rPr>
          <w:rFonts w:cs="Times New Roman"/>
          <w:szCs w:val="18"/>
          <w:lang w:val="en-GB"/>
        </w:rPr>
        <w:t>https://www.oecd.org/en/publications/government-at-a-glance-2023_3d5c5d31-en/full-report.html</w:t>
      </w:r>
    </w:p>
    <w:p w14:paraId="0469943D" w14:textId="7A85F2BA" w:rsidR="00903C0C" w:rsidRDefault="00903C0C" w:rsidP="007E4151">
      <w:pPr>
        <w:jc w:val="both"/>
        <w:rPr>
          <w:lang w:val="lv-LV"/>
        </w:rPr>
      </w:pPr>
      <w:r w:rsidRPr="00FE4FA1">
        <w:rPr>
          <w:rFonts w:cs="Times New Roman"/>
          <w:szCs w:val="18"/>
          <w:lang w:val="en-GB"/>
        </w:rPr>
        <w:t>OECD. (2024). Recommendation of the Council on Regulatory Policy and Governance</w:t>
      </w:r>
      <w:r>
        <w:rPr>
          <w:rFonts w:cs="Times New Roman"/>
          <w:szCs w:val="18"/>
          <w:lang w:val="en-GB"/>
        </w:rPr>
        <w:t xml:space="preserve">. Saite: </w:t>
      </w:r>
      <w:hyperlink r:id="rId29" w:history="1">
        <w:r w:rsidR="00CA3225" w:rsidRPr="00271C65">
          <w:rPr>
            <w:rStyle w:val="Hyperlink"/>
            <w:rFonts w:cs="Times New Roman"/>
            <w:szCs w:val="18"/>
            <w:lang w:val="en-GB"/>
          </w:rPr>
          <w:t>https://legalinstruments.oecd.org/en/instruments/OECD-LEGAL-0390</w:t>
        </w:r>
      </w:hyperlink>
      <w:r w:rsidR="00CA3225">
        <w:rPr>
          <w:rFonts w:cs="Times New Roman"/>
          <w:szCs w:val="18"/>
          <w:lang w:val="en-GB"/>
        </w:rPr>
        <w:t xml:space="preserve"> </w:t>
      </w:r>
    </w:p>
    <w:p w14:paraId="691A4EFF" w14:textId="77777777" w:rsidR="000B5ED8" w:rsidRPr="000B5ED8" w:rsidRDefault="000B5ED8" w:rsidP="007E4151">
      <w:pPr>
        <w:jc w:val="both"/>
        <w:rPr>
          <w:lang w:val="lv-LV"/>
        </w:rPr>
      </w:pPr>
      <w:r w:rsidRPr="000B5ED8">
        <w:rPr>
          <w:lang w:val="lv-LV"/>
        </w:rPr>
        <w:t>Patton, M. Q. (2002). Qualitative Research &amp; Evaluation Methods (3rd ed.). SAGE Publications.</w:t>
      </w:r>
    </w:p>
    <w:p w14:paraId="3A29C23E" w14:textId="18FC60C4" w:rsidR="00ED6E1D" w:rsidRDefault="00ED6E1D" w:rsidP="007E4151">
      <w:pPr>
        <w:jc w:val="both"/>
        <w:rPr>
          <w:lang w:val="lv-LV"/>
        </w:rPr>
      </w:pPr>
      <w:r w:rsidRPr="00ED6E1D">
        <w:rPr>
          <w:lang w:val="lv-LV"/>
        </w:rPr>
        <w:t>Productivity Commission. (2017). Telecommunications Universal Service Obligation, Inquiry Report. Australian Government</w:t>
      </w:r>
    </w:p>
    <w:p w14:paraId="31557F94" w14:textId="3B5154AA" w:rsidR="000B5ED8" w:rsidRPr="000B5ED8" w:rsidRDefault="000B5ED8" w:rsidP="007E4151">
      <w:pPr>
        <w:jc w:val="both"/>
        <w:rPr>
          <w:lang w:val="lv-LV"/>
        </w:rPr>
      </w:pPr>
      <w:r w:rsidRPr="000B5ED8">
        <w:rPr>
          <w:lang w:val="lv-LV"/>
        </w:rPr>
        <w:t>Punch, K. F. (2014). Introduction to Social Research: Quantitative and Qualitative Approaches (3rd ed.). SAGE Publications.</w:t>
      </w:r>
    </w:p>
    <w:p w14:paraId="7DE4DBF8" w14:textId="370C1B88" w:rsidR="00792F4D" w:rsidRDefault="00792F4D" w:rsidP="007E4151">
      <w:pPr>
        <w:jc w:val="both"/>
        <w:rPr>
          <w:lang w:val="lv-LV"/>
        </w:rPr>
      </w:pPr>
      <w:r w:rsidRPr="00792F4D">
        <w:rPr>
          <w:lang w:val="lv-LV"/>
        </w:rPr>
        <w:lastRenderedPageBreak/>
        <w:t xml:space="preserve">Queirós, A.; Faria, D.; Almeida, F. Strengths and limitations of qualitative and quantitative research methods. </w:t>
      </w:r>
      <w:r w:rsidR="003F4366">
        <w:rPr>
          <w:lang w:val="lv-LV"/>
        </w:rPr>
        <w:t xml:space="preserve">Saite: </w:t>
      </w:r>
      <w:hyperlink r:id="rId30" w:history="1">
        <w:r w:rsidR="003F4366" w:rsidRPr="00271C65">
          <w:rPr>
            <w:rStyle w:val="Hyperlink"/>
            <w:lang w:val="lv-LV"/>
          </w:rPr>
          <w:t>https://www.researchgate.net/publication/319852576_Strengths_and_Limitations_of_Qualitative_and_Quantitative_Research_Methods</w:t>
        </w:r>
      </w:hyperlink>
      <w:r w:rsidR="003F4366">
        <w:rPr>
          <w:lang w:val="lv-LV"/>
        </w:rPr>
        <w:t xml:space="preserve"> </w:t>
      </w:r>
    </w:p>
    <w:p w14:paraId="52EDC9B3" w14:textId="292EE0C8" w:rsidR="001337C0" w:rsidRPr="001337C0" w:rsidRDefault="001337C0" w:rsidP="007E4151">
      <w:pPr>
        <w:jc w:val="both"/>
      </w:pPr>
      <w:r w:rsidRPr="001337C0">
        <w:t>Smiltēna A., Bloma I. (2020). Tiesību akta projekta ietekmes sākotnējā izvērtēšana. Valsts kanceleja</w:t>
      </w:r>
      <w:r>
        <w:t xml:space="preserve">. Saite: </w:t>
      </w:r>
      <w:hyperlink r:id="rId31" w:history="1">
        <w:r w:rsidR="00E443FC" w:rsidRPr="00271C65">
          <w:rPr>
            <w:rStyle w:val="Hyperlink"/>
          </w:rPr>
          <w:t>https://www.mk.gov.lv/lv/media/520/download</w:t>
        </w:r>
      </w:hyperlink>
      <w:r w:rsidR="00E443FC">
        <w:t xml:space="preserve"> </w:t>
      </w:r>
    </w:p>
    <w:p w14:paraId="3A97FB81" w14:textId="77BAC393" w:rsidR="003F40B2" w:rsidRDefault="003F40B2" w:rsidP="007E4151">
      <w:pPr>
        <w:jc w:val="both"/>
        <w:rPr>
          <w:lang w:val="lv-LV"/>
        </w:rPr>
      </w:pPr>
      <w:r w:rsidRPr="003F40B2">
        <w:rPr>
          <w:lang w:val="lv-LV"/>
        </w:rPr>
        <w:t>Sunstein, C. R. (2018). The cost-benefit revolution. MIT Press.</w:t>
      </w:r>
    </w:p>
    <w:p w14:paraId="123C8D77" w14:textId="6A1ECC7E" w:rsidR="00792F4D" w:rsidRPr="00792F4D" w:rsidRDefault="00792F4D" w:rsidP="007E4151">
      <w:pPr>
        <w:jc w:val="both"/>
        <w:rPr>
          <w:lang w:val="lv-LV"/>
        </w:rPr>
      </w:pPr>
      <w:r w:rsidRPr="00792F4D">
        <w:rPr>
          <w:lang w:val="lv-LV"/>
        </w:rPr>
        <w:t>Strauss, A., &amp; Corbin, J. (1998). Basics of qualitative research. Thousands Oaks, CA: Sage Publications.</w:t>
      </w:r>
    </w:p>
    <w:p w14:paraId="04A67103" w14:textId="39D54BAA" w:rsidR="002257D3" w:rsidRPr="00E11C8A" w:rsidRDefault="002257D3" w:rsidP="007E4151">
      <w:pPr>
        <w:jc w:val="both"/>
        <w:rPr>
          <w:lang w:val="lv-LV"/>
        </w:rPr>
      </w:pPr>
      <w:r w:rsidRPr="00E11C8A">
        <w:rPr>
          <w:lang w:val="lv-LV"/>
        </w:rPr>
        <w:t>Scriven, M</w:t>
      </w:r>
      <w:r w:rsidR="00256C8F" w:rsidRPr="00E11C8A">
        <w:rPr>
          <w:lang w:val="lv-LV"/>
        </w:rPr>
        <w:t>ichael</w:t>
      </w:r>
      <w:r w:rsidR="00E11C8A" w:rsidRPr="00E11C8A">
        <w:rPr>
          <w:lang w:val="lv-LV"/>
        </w:rPr>
        <w:t>.</w:t>
      </w:r>
      <w:r w:rsidR="00256C8F" w:rsidRPr="00E11C8A">
        <w:rPr>
          <w:lang w:val="lv-LV"/>
        </w:rPr>
        <w:t xml:space="preserve"> </w:t>
      </w:r>
      <w:r w:rsidRPr="00E11C8A">
        <w:rPr>
          <w:lang w:val="lv-LV"/>
        </w:rPr>
        <w:t>(1991). Evaluation thesaurus (4th ed.). Sage Publications, Inc.</w:t>
      </w:r>
    </w:p>
    <w:p w14:paraId="40C148AC" w14:textId="205E6B60" w:rsidR="00C975C1" w:rsidRDefault="00C975C1" w:rsidP="007E4151">
      <w:pPr>
        <w:jc w:val="both"/>
        <w:rPr>
          <w:lang w:val="lv-LV"/>
        </w:rPr>
      </w:pPr>
      <w:r w:rsidRPr="00DB7B4D">
        <w:rPr>
          <w:lang w:val="lv-LV"/>
        </w:rPr>
        <w:t>USAID, Marušić A., Radulović B. (2012). Regulatory Impact Analysis (RIA) Manual.</w:t>
      </w:r>
      <w:r w:rsidR="00D11B9B">
        <w:rPr>
          <w:lang w:val="lv-LV"/>
        </w:rPr>
        <w:t xml:space="preserve"> Saite: </w:t>
      </w:r>
      <w:r w:rsidR="00D11B9B" w:rsidRPr="00D11B9B">
        <w:rPr>
          <w:lang w:val="lv-LV"/>
        </w:rPr>
        <w:t>https://regulatoryreform.com/wp-content/uploads/2015/02/Montenegro-USAID-RIA-Manual-2011.pdf</w:t>
      </w:r>
    </w:p>
    <w:p w14:paraId="055F09A9" w14:textId="17ABF374" w:rsidR="002B280B" w:rsidRPr="00E11C8A" w:rsidRDefault="002B280B" w:rsidP="007E4151">
      <w:pPr>
        <w:jc w:val="both"/>
        <w:rPr>
          <w:lang w:val="lv-LV"/>
        </w:rPr>
      </w:pPr>
      <w:r>
        <w:t xml:space="preserve">Uusikylä, P. et al. (2023), Quality indicators of the regulatory law drafting process in Finland. </w:t>
      </w:r>
      <w:r w:rsidR="00C32972">
        <w:t xml:space="preserve">Saite: </w:t>
      </w:r>
      <w:hyperlink r:id="rId32" w:history="1">
        <w:r w:rsidR="00C32972" w:rsidRPr="00271C65">
          <w:rPr>
            <w:rStyle w:val="Hyperlink"/>
          </w:rPr>
          <w:t>https://julkaisut.valtioneuvosto.fi/handle/10024/164973</w:t>
        </w:r>
      </w:hyperlink>
      <w:r w:rsidR="00C32972">
        <w:t xml:space="preserve"> </w:t>
      </w:r>
      <w:r w:rsidR="00042EDD">
        <w:t xml:space="preserve"> </w:t>
      </w:r>
    </w:p>
    <w:p w14:paraId="0000554F" w14:textId="3A0D4815" w:rsidR="00E11C8A" w:rsidRDefault="00C838D8" w:rsidP="007E4151">
      <w:pPr>
        <w:jc w:val="both"/>
        <w:rPr>
          <w:lang w:val="lv-LV"/>
        </w:rPr>
      </w:pPr>
      <w:r>
        <w:t>Valsts kanceleja. (2021). Vadlīnijas tiesību akta projekta sākotnējās ietekmes novērtēšanai un novērtējuma ziņojuma sagatavošanai vienotajā tiesību aktu izstrādes un saskaņošanas portālā.</w:t>
      </w:r>
      <w:r w:rsidR="00B14932">
        <w:t xml:space="preserve"> Saite: </w:t>
      </w:r>
      <w:hyperlink r:id="rId33" w:history="1">
        <w:r w:rsidR="00B14932" w:rsidRPr="00271C65">
          <w:rPr>
            <w:rStyle w:val="Hyperlink"/>
          </w:rPr>
          <w:t>https://www.mk.gov.lv/sites/mk/files/media_file/tap_anotacija_vadlinijas.pdf</w:t>
        </w:r>
      </w:hyperlink>
      <w:r w:rsidR="00B14932">
        <w:t xml:space="preserve"> </w:t>
      </w:r>
    </w:p>
    <w:p w14:paraId="7B25BE64" w14:textId="19E88487" w:rsidR="00FE0CCB" w:rsidRPr="00E11C8A" w:rsidRDefault="000B5ED8" w:rsidP="007E4151">
      <w:pPr>
        <w:jc w:val="both"/>
        <w:rPr>
          <w:lang w:val="lv-LV"/>
        </w:rPr>
      </w:pPr>
      <w:r w:rsidRPr="000B5ED8">
        <w:rPr>
          <w:lang w:val="lv-LV"/>
        </w:rPr>
        <w:t>Vedung, E. (2017). Public policy and program evaluation. Routledge.</w:t>
      </w:r>
    </w:p>
    <w:sectPr w:rsidR="00FE0CCB" w:rsidRPr="00E11C8A" w:rsidSect="00E02C70">
      <w:headerReference w:type="default" r:id="rId34"/>
      <w:headerReference w:type="first" r:id="rId35"/>
      <w:footerReference w:type="first" r:id="rId36"/>
      <w:pgSz w:w="11906" w:h="16838"/>
      <w:pgMar w:top="1474" w:right="822" w:bottom="1474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CF6A9" w14:textId="77777777" w:rsidR="00126931" w:rsidRPr="00A90D51" w:rsidRDefault="00126931" w:rsidP="00BA2BE6">
      <w:pPr>
        <w:spacing w:before="0" w:after="0" w:line="240" w:lineRule="auto"/>
      </w:pPr>
      <w:r w:rsidRPr="00A90D51">
        <w:separator/>
      </w:r>
    </w:p>
  </w:endnote>
  <w:endnote w:type="continuationSeparator" w:id="0">
    <w:p w14:paraId="1D08C38D" w14:textId="77777777" w:rsidR="00126931" w:rsidRPr="00A90D51" w:rsidRDefault="00126931" w:rsidP="00BA2BE6">
      <w:pPr>
        <w:spacing w:before="0" w:after="0" w:line="240" w:lineRule="auto"/>
      </w:pPr>
      <w:r w:rsidRPr="00A90D51">
        <w:continuationSeparator/>
      </w:r>
    </w:p>
  </w:endnote>
  <w:endnote w:type="continuationNotice" w:id="1">
    <w:p w14:paraId="3FA1A298" w14:textId="77777777" w:rsidR="00126931" w:rsidRDefault="0012693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  <w:embedRegular r:id="rId1" w:fontKey="{FAFFF552-15A0-4721-93EE-6494A1D4809E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ontserrat Black">
    <w:charset w:val="BA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BCCD69E3-AE15-436A-B0FE-4C28460C23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008E94C1-FA89-4CB1-A31D-1BC4B1C6D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681C5" w14:textId="77777777" w:rsidR="00372C26" w:rsidRPr="00A90D51" w:rsidRDefault="00DC6A03">
    <w:pPr>
      <w:pStyle w:val="Foot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1158FB0" wp14:editId="633635B1">
              <wp:simplePos x="0" y="0"/>
              <wp:positionH relativeFrom="rightMargin">
                <wp:posOffset>-323850</wp:posOffset>
              </wp:positionH>
              <wp:positionV relativeFrom="paragraph">
                <wp:posOffset>189906</wp:posOffset>
              </wp:positionV>
              <wp:extent cx="324000" cy="198000"/>
              <wp:effectExtent l="0" t="0" r="0" b="12065"/>
              <wp:wrapNone/>
              <wp:docPr id="1994033937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000" cy="19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2624E3" w14:textId="77777777" w:rsidR="00372C26" w:rsidRPr="00A90D51" w:rsidRDefault="00372C26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58F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5.5pt;margin-top:14.95pt;width:25.5pt;height:15.6pt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" filled="f" stroked="f" strokeweight=".5pt">
              <v:textbox inset="0,0,0,0">
                <w:txbxContent>
                  <w:p w14:paraId="522624E3" w14:textId="77777777" w:rsidR="00372C26" w:rsidRPr="00A90D51" w:rsidRDefault="00372C26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1B6B0BA" wp14:editId="48A698DA">
              <wp:simplePos x="0" y="0"/>
              <wp:positionH relativeFrom="rightMargin">
                <wp:posOffset>-377825</wp:posOffset>
              </wp:positionH>
              <wp:positionV relativeFrom="paragraph">
                <wp:posOffset>201197</wp:posOffset>
              </wp:positionV>
              <wp:extent cx="0" cy="162000"/>
              <wp:effectExtent l="0" t="0" r="38100" b="28575"/>
              <wp:wrapNone/>
              <wp:docPr id="557382857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620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FB5707" id="Straight Connector 10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29.75pt,15.85pt" to="-29.7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" strokecolor="#e6e6e6 [3206]" strokeweight="1pt">
              <v:stroke joinstyle="miter"/>
              <w10:wrap anchorx="margin"/>
            </v:lin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A42AF66" wp14:editId="2B4FAB7B">
              <wp:simplePos x="0" y="0"/>
              <wp:positionH relativeFrom="rightMargin">
                <wp:posOffset>-4860925</wp:posOffset>
              </wp:positionH>
              <wp:positionV relativeFrom="paragraph">
                <wp:posOffset>6985</wp:posOffset>
              </wp:positionV>
              <wp:extent cx="4381200" cy="378000"/>
              <wp:effectExtent l="0" t="0" r="635" b="3175"/>
              <wp:wrapNone/>
              <wp:docPr id="76817024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200" cy="37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144330502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6DE11E2" w14:textId="77777777" w:rsidR="00372C26" w:rsidRPr="00A90D51" w:rsidRDefault="009E7F9C" w:rsidP="00892D67">
                              <w:pPr>
                                <w:pStyle w:val="Header"/>
                              </w:pPr>
                              <w:r>
                                <w:t>Longer Document title which is expanded to three lines!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42AF66" id="_x0000_s1028" type="#_x0000_t202" style="position:absolute;margin-left:-382.75pt;margin-top:.55pt;width:345pt;height:29.75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" filled="f" stroked="f" strokeweight=".5pt">
              <v:textbox inset="0,0,0,0">
                <w:txbxContent>
                  <w:sdt>
                    <w:sdtPr>
                      <w:alias w:val="Title"/>
                      <w:tag w:val=""/>
                      <w:id w:val="-144330502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6DE11E2" w14:textId="77777777" w:rsidR="00372C26" w:rsidRPr="00A90D51" w:rsidRDefault="009E7F9C" w:rsidP="00892D67">
                        <w:pPr>
                          <w:pStyle w:val="Header"/>
                        </w:pPr>
                        <w:r>
                          <w:t>Longer Document title which is expanded to three lines!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D15CA" w14:textId="77777777" w:rsidR="00126931" w:rsidRPr="00A90D51" w:rsidRDefault="00126931" w:rsidP="00BA2BE6">
      <w:pPr>
        <w:spacing w:before="0" w:after="0" w:line="240" w:lineRule="auto"/>
      </w:pPr>
      <w:r w:rsidRPr="00A90D51">
        <w:separator/>
      </w:r>
    </w:p>
  </w:footnote>
  <w:footnote w:type="continuationSeparator" w:id="0">
    <w:p w14:paraId="185A2094" w14:textId="77777777" w:rsidR="00126931" w:rsidRPr="00A90D51" w:rsidRDefault="00126931" w:rsidP="00BA2BE6">
      <w:pPr>
        <w:spacing w:before="0" w:after="0" w:line="240" w:lineRule="auto"/>
      </w:pPr>
      <w:r w:rsidRPr="00A90D51">
        <w:continuationSeparator/>
      </w:r>
    </w:p>
  </w:footnote>
  <w:footnote w:type="continuationNotice" w:id="1">
    <w:p w14:paraId="2BECE04F" w14:textId="77777777" w:rsidR="00126931" w:rsidRDefault="0012693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C6791" w14:textId="77777777" w:rsidR="00E237E0" w:rsidRPr="00A90D51" w:rsidRDefault="00DC6A03">
    <w:pPr>
      <w:pStyle w:val="Head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0E4F36F" wp14:editId="3A5BB1B5">
              <wp:simplePos x="0" y="0"/>
              <wp:positionH relativeFrom="rightMargin">
                <wp:posOffset>-306070</wp:posOffset>
              </wp:positionH>
              <wp:positionV relativeFrom="margin">
                <wp:posOffset>-431800</wp:posOffset>
              </wp:positionV>
              <wp:extent cx="291600" cy="306000"/>
              <wp:effectExtent l="0" t="0" r="13335" b="0"/>
              <wp:wrapNone/>
              <wp:docPr id="2023490423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00" cy="30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255D7" w14:textId="77777777" w:rsidR="00E7686F" w:rsidRPr="00A90D51" w:rsidRDefault="00E7686F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4F3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24.1pt;margin-top:-34pt;width:22.95pt;height:24.1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" filled="f" stroked="f" strokeweight=".5pt">
              <v:textbox inset="0,0,0,0">
                <w:txbxContent>
                  <w:p w14:paraId="2A7255D7" w14:textId="77777777" w:rsidR="00E7686F" w:rsidRPr="00A90D51" w:rsidRDefault="00E7686F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92D67" w:rsidRPr="00A90D51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ABD320F" wp14:editId="77366A53">
              <wp:simplePos x="0" y="0"/>
              <wp:positionH relativeFrom="rightMargin">
                <wp:posOffset>-377825</wp:posOffset>
              </wp:positionH>
              <wp:positionV relativeFrom="margin">
                <wp:posOffset>-424815</wp:posOffset>
              </wp:positionV>
              <wp:extent cx="0" cy="295200"/>
              <wp:effectExtent l="0" t="0" r="38100" b="29210"/>
              <wp:wrapNone/>
              <wp:docPr id="747135681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D25447" id="Straight Connector 10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" from="-29.75pt,-33.45pt" to="-29.75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" strokecolor="#e6e6e6 [3206]" strokeweight="1pt">
              <v:stroke joinstyle="miter"/>
              <w10:wrap anchorx="margin" anchory="margin"/>
            </v:line>
          </w:pict>
        </mc:Fallback>
      </mc:AlternateContent>
    </w:r>
    <w:r w:rsidR="00710008">
      <w:rPr>
        <w:noProof/>
      </w:rPr>
      <w:drawing>
        <wp:anchor distT="0" distB="0" distL="114300" distR="114300" simplePos="0" relativeHeight="251658247" behindDoc="1" locked="1" layoutInCell="1" allowOverlap="1" wp14:anchorId="7D99DC2C" wp14:editId="12A08517">
          <wp:simplePos x="520065" y="472440"/>
          <wp:positionH relativeFrom="page">
            <wp:align>right</wp:align>
          </wp:positionH>
          <wp:positionV relativeFrom="page">
            <wp:align>bottom</wp:align>
          </wp:positionV>
          <wp:extent cx="7563600" cy="1882800"/>
          <wp:effectExtent l="0" t="0" r="0" b="3175"/>
          <wp:wrapNone/>
          <wp:docPr id="1739576010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026841" name="Picture 2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8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008">
      <w:rPr>
        <w:noProof/>
      </w:rPr>
      <w:drawing>
        <wp:anchor distT="0" distB="0" distL="114300" distR="114300" simplePos="0" relativeHeight="251658246" behindDoc="1" locked="1" layoutInCell="1" allowOverlap="1" wp14:anchorId="331E75A2" wp14:editId="32939D1F">
          <wp:simplePos x="520065" y="472440"/>
          <wp:positionH relativeFrom="page">
            <wp:align>left</wp:align>
          </wp:positionH>
          <wp:positionV relativeFrom="page">
            <wp:align>bottom</wp:align>
          </wp:positionV>
          <wp:extent cx="11030400" cy="939600"/>
          <wp:effectExtent l="0" t="0" r="0" b="0"/>
          <wp:wrapNone/>
          <wp:docPr id="18863261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529950" name="Picture 78752995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04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4E53" w14:textId="77777777" w:rsidR="006209AD" w:rsidRPr="00A90D51" w:rsidRDefault="006209AD">
    <w:pPr>
      <w:pStyle w:val="Header"/>
    </w:pPr>
    <w:r w:rsidRPr="00A90D51">
      <w:rPr>
        <w:noProof/>
      </w:rPr>
      <w:drawing>
        <wp:anchor distT="0" distB="0" distL="114300" distR="114300" simplePos="0" relativeHeight="251658240" behindDoc="1" locked="1" layoutInCell="1" allowOverlap="1" wp14:anchorId="63FF7CDC" wp14:editId="5B65F284">
          <wp:simplePos x="519545" y="457200"/>
          <wp:positionH relativeFrom="page">
            <wp:align>left</wp:align>
          </wp:positionH>
          <wp:positionV relativeFrom="page">
            <wp:align>bottom</wp:align>
          </wp:positionV>
          <wp:extent cx="7563600" cy="10695600"/>
          <wp:effectExtent l="0" t="0" r="0" b="0"/>
          <wp:wrapNone/>
          <wp:docPr id="481006868" name="Picture 481006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322288" name="Picture 6513222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E36111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29870865" o:spid="_x0000_i1025" type="#_x0000_t75" style="width:49.5pt;height:49.5pt;visibility:visible;mso-wrap-style:square">
            <v:imagedata r:id="rId1" o:title=""/>
          </v:shape>
        </w:pict>
      </mc:Choice>
      <mc:Fallback>
        <w:drawing>
          <wp:inline distT="0" distB="0" distL="0" distR="0" wp14:anchorId="7BF3D0A7" wp14:editId="7BF3D0A8">
            <wp:extent cx="628650" cy="628650"/>
            <wp:effectExtent l="0" t="0" r="0" b="0"/>
            <wp:docPr id="2029870865" name="Picture 202987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834CCC5" id="Picture 1796987290" o:spid="_x0000_i1025" type="#_x0000_t75" style="width:49.5pt;height:49.5pt;visibility:visible;mso-wrap-style:square">
            <v:imagedata r:id="rId3" o:title=""/>
          </v:shape>
        </w:pict>
      </mc:Choice>
      <mc:Fallback>
        <w:drawing>
          <wp:inline distT="0" distB="0" distL="0" distR="0" wp14:anchorId="7BF3D0A9" wp14:editId="7BF3D0AA">
            <wp:extent cx="628650" cy="628650"/>
            <wp:effectExtent l="0" t="0" r="0" b="0"/>
            <wp:docPr id="1796987290" name="Picture 1796987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2C35EB84" id="Picture 1235242283" o:spid="_x0000_i1025" type="#_x0000_t75" style="width:49.5pt;height:49.5pt;visibility:visible;mso-wrap-style:square">
            <v:imagedata r:id="rId5" o:title=""/>
          </v:shape>
        </w:pict>
      </mc:Choice>
      <mc:Fallback>
        <w:drawing>
          <wp:inline distT="0" distB="0" distL="0" distR="0" wp14:anchorId="7BF3D0AB" wp14:editId="7BF3D0AC">
            <wp:extent cx="628650" cy="628650"/>
            <wp:effectExtent l="0" t="0" r="0" b="0"/>
            <wp:docPr id="1235242283" name="Picture 123524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24B69F82" id="Picture 382134937" o:spid="_x0000_i1025" type="#_x0000_t75" style="width:49.5pt;height:49.5pt;visibility:visible;mso-wrap-style:square">
            <v:imagedata r:id="rId7" o:title=""/>
          </v:shape>
        </w:pict>
      </mc:Choice>
      <mc:Fallback>
        <w:drawing>
          <wp:inline distT="0" distB="0" distL="0" distR="0" wp14:anchorId="7BF3D0AD" wp14:editId="7BF3D0AE">
            <wp:extent cx="628650" cy="628650"/>
            <wp:effectExtent l="0" t="0" r="0" b="0"/>
            <wp:docPr id="382134937" name="Picture 38213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9D33223" id="Picture 695190067" o:spid="_x0000_i1025" type="#_x0000_t75" style="width:49.5pt;height:49.5pt;visibility:visible;mso-wrap-style:square">
            <v:imagedata r:id="rId9" o:title=""/>
          </v:shape>
        </w:pict>
      </mc:Choice>
      <mc:Fallback>
        <w:drawing>
          <wp:inline distT="0" distB="0" distL="0" distR="0" wp14:anchorId="7BF3D0AF" wp14:editId="7BF3D0B0">
            <wp:extent cx="628650" cy="628650"/>
            <wp:effectExtent l="0" t="0" r="0" b="0"/>
            <wp:docPr id="695190067" name="Picture 69519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76ADCD06" id="Picture 1475642790" o:spid="_x0000_i1025" type="#_x0000_t75" style="width:49.5pt;height:49.5pt;visibility:visible;mso-wrap-style:square">
            <v:imagedata r:id="rId11" o:title=""/>
          </v:shape>
        </w:pict>
      </mc:Choice>
      <mc:Fallback>
        <w:drawing>
          <wp:inline distT="0" distB="0" distL="0" distR="0" wp14:anchorId="7BF3D0B1" wp14:editId="7BF3D0B2">
            <wp:extent cx="628650" cy="628650"/>
            <wp:effectExtent l="0" t="0" r="0" b="0"/>
            <wp:docPr id="1475642790" name="Picture 147564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3F68C0A8" id="Picture 1299520387" o:spid="_x0000_i1025" type="#_x0000_t75" style="width:49.5pt;height:49.5pt;visibility:visible;mso-wrap-style:square">
            <v:imagedata r:id="rId13" o:title=""/>
          </v:shape>
        </w:pict>
      </mc:Choice>
      <mc:Fallback>
        <w:drawing>
          <wp:inline distT="0" distB="0" distL="0" distR="0" wp14:anchorId="7BF3D0B3" wp14:editId="7BF3D0B4">
            <wp:extent cx="628650" cy="628650"/>
            <wp:effectExtent l="0" t="0" r="0" b="0"/>
            <wp:docPr id="1299520387" name="Picture 129952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5A4ADEA1" id="Picture 582814798" o:spid="_x0000_i1025" type="#_x0000_t75" style="width:49.5pt;height:49.5pt;visibility:visible;mso-wrap-style:square">
            <v:imagedata r:id="rId15" o:title=""/>
          </v:shape>
        </w:pict>
      </mc:Choice>
      <mc:Fallback>
        <w:drawing>
          <wp:inline distT="0" distB="0" distL="0" distR="0" wp14:anchorId="7BF3D0B5" wp14:editId="7BF3D0B6">
            <wp:extent cx="628650" cy="628650"/>
            <wp:effectExtent l="0" t="0" r="0" b="0"/>
            <wp:docPr id="582814798" name="Picture 582814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2A1B2A12" id="Picture 655261753" o:spid="_x0000_i1025" type="#_x0000_t75" style="width:49.5pt;height:49.5pt;visibility:visible;mso-wrap-style:square">
            <v:imagedata r:id="rId17" o:title=""/>
          </v:shape>
        </w:pict>
      </mc:Choice>
      <mc:Fallback>
        <w:drawing>
          <wp:inline distT="0" distB="0" distL="0" distR="0" wp14:anchorId="7BF3D0B7" wp14:editId="7BF3D0B8">
            <wp:extent cx="628650" cy="628650"/>
            <wp:effectExtent l="0" t="0" r="0" b="0"/>
            <wp:docPr id="655261753" name="Picture 65526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5AD58381" id="Picture 1595097712" o:spid="_x0000_i1025" type="#_x0000_t75" style="width:49.5pt;height:49.5pt;visibility:visible;mso-wrap-style:square">
            <v:imagedata r:id="rId19" o:title=""/>
          </v:shape>
        </w:pict>
      </mc:Choice>
      <mc:Fallback>
        <w:drawing>
          <wp:inline distT="0" distB="0" distL="0" distR="0" wp14:anchorId="7BF3D0B9" wp14:editId="7BF3D0BA">
            <wp:extent cx="628650" cy="628650"/>
            <wp:effectExtent l="0" t="0" r="0" b="0"/>
            <wp:docPr id="1595097712" name="Picture 159509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424F99F0" id="Picture 1889506156" o:spid="_x0000_i1025" type="#_x0000_t75" style="width:22.5pt;height:22.5pt;visibility:visible;mso-wrap-style:square">
            <v:imagedata r:id="rId21" o:title=""/>
          </v:shape>
        </w:pict>
      </mc:Choice>
      <mc:Fallback>
        <w:drawing>
          <wp:inline distT="0" distB="0" distL="0" distR="0" wp14:anchorId="7BF3D0BB" wp14:editId="7BF3D0BC">
            <wp:extent cx="285750" cy="285750"/>
            <wp:effectExtent l="0" t="0" r="0" b="0"/>
            <wp:docPr id="1889506156" name="Picture 188950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54267250" id="Picture 924780990" o:spid="_x0000_i1025" type="#_x0000_t75" style="width:22.5pt;height:22.5pt;visibility:visible;mso-wrap-style:square">
            <v:imagedata r:id="rId23" o:title=""/>
          </v:shape>
        </w:pict>
      </mc:Choice>
      <mc:Fallback>
        <w:drawing>
          <wp:inline distT="0" distB="0" distL="0" distR="0" wp14:anchorId="7BF3D0BD" wp14:editId="7BF3D0BE">
            <wp:extent cx="285750" cy="285750"/>
            <wp:effectExtent l="0" t="0" r="0" b="0"/>
            <wp:docPr id="924780990" name="Picture 92478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719EDDB1" id="Picture 346801640" o:spid="_x0000_i1025" type="#_x0000_t75" style="width:22.5pt;height:22.5pt;visibility:visible;mso-wrap-style:square">
            <v:imagedata r:id="rId25" o:title=""/>
          </v:shape>
        </w:pict>
      </mc:Choice>
      <mc:Fallback>
        <w:drawing>
          <wp:inline distT="0" distB="0" distL="0" distR="0" wp14:anchorId="7BF3D0BF" wp14:editId="7BF3D0C0">
            <wp:extent cx="285750" cy="285750"/>
            <wp:effectExtent l="0" t="0" r="0" b="0"/>
            <wp:docPr id="346801640" name="Picture 34680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2FF47B94" id="Picture 1100917015" o:spid="_x0000_i1025" type="#_x0000_t75" style="width:22.5pt;height:22.5pt;visibility:visible;mso-wrap-style:square">
            <v:imagedata r:id="rId27" o:title=""/>
          </v:shape>
        </w:pict>
      </mc:Choice>
      <mc:Fallback>
        <w:drawing>
          <wp:inline distT="0" distB="0" distL="0" distR="0" wp14:anchorId="7BF3D0C1" wp14:editId="7BF3D0C2">
            <wp:extent cx="285750" cy="285750"/>
            <wp:effectExtent l="0" t="0" r="0" b="0"/>
            <wp:docPr id="1100917015" name="Picture 110091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517B26E0" id="Picture 1979361511" o:spid="_x0000_i1025" type="#_x0000_t75" style="width:22.5pt;height:22.5pt;visibility:visible;mso-wrap-style:square">
            <v:imagedata r:id="rId29" o:title=""/>
          </v:shape>
        </w:pict>
      </mc:Choice>
      <mc:Fallback>
        <w:drawing>
          <wp:inline distT="0" distB="0" distL="0" distR="0" wp14:anchorId="7BF3D0C3" wp14:editId="7BF3D0C4">
            <wp:extent cx="285750" cy="285750"/>
            <wp:effectExtent l="0" t="0" r="0" b="0"/>
            <wp:docPr id="1979361511" name="Picture 197936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6E930483" id="Picture 2143585077" o:spid="_x0000_i1025" type="#_x0000_t75" style="width:22.5pt;height:22.5pt;visibility:visible;mso-wrap-style:square">
            <v:imagedata r:id="rId31" o:title=""/>
          </v:shape>
        </w:pict>
      </mc:Choice>
      <mc:Fallback>
        <w:drawing>
          <wp:inline distT="0" distB="0" distL="0" distR="0" wp14:anchorId="7BF3D0C5" wp14:editId="7BF3D0C6">
            <wp:extent cx="285750" cy="285750"/>
            <wp:effectExtent l="0" t="0" r="0" b="0"/>
            <wp:docPr id="2143585077" name="Picture 214358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0"/>
    <w:multiLevelType w:val="singleLevel"/>
    <w:tmpl w:val="9948D60E"/>
    <w:lvl w:ilvl="0">
      <w:start w:val="1"/>
      <w:numFmt w:val="bullet"/>
      <w:pStyle w:val="ListBullet5"/>
      <w:lvlText w:val="–"/>
      <w:lvlJc w:val="left"/>
      <w:pPr>
        <w:ind w:left="1721" w:hanging="360"/>
      </w:pPr>
      <w:rPr>
        <w:rFonts w:ascii="Arial Black" w:hAnsi="Arial Black" w:hint="default"/>
        <w:color w:val="auto"/>
      </w:rPr>
    </w:lvl>
  </w:abstractNum>
  <w:abstractNum w:abstractNumId="1" w15:restartNumberingAfterBreak="0">
    <w:nsid w:val="FFFFFF81"/>
    <w:multiLevelType w:val="singleLevel"/>
    <w:tmpl w:val="8EF4C65C"/>
    <w:lvl w:ilvl="0">
      <w:start w:val="1"/>
      <w:numFmt w:val="bullet"/>
      <w:pStyle w:val="ListBullet4"/>
      <w:lvlText w:val="–"/>
      <w:lvlJc w:val="left"/>
      <w:pPr>
        <w:ind w:left="1381" w:hanging="360"/>
      </w:pPr>
      <w:rPr>
        <w:rFonts w:ascii="Arial Black" w:hAnsi="Arial Black" w:hint="default"/>
        <w:color w:val="auto"/>
      </w:rPr>
    </w:lvl>
  </w:abstractNum>
  <w:abstractNum w:abstractNumId="2" w15:restartNumberingAfterBreak="0">
    <w:nsid w:val="FFFFFF82"/>
    <w:multiLevelType w:val="singleLevel"/>
    <w:tmpl w:val="394CA79A"/>
    <w:lvl w:ilvl="0">
      <w:start w:val="1"/>
      <w:numFmt w:val="bullet"/>
      <w:pStyle w:val="ListBullet3"/>
      <w:lvlText w:val="–"/>
      <w:lvlJc w:val="left"/>
      <w:pPr>
        <w:ind w:left="1040" w:hanging="360"/>
      </w:pPr>
      <w:rPr>
        <w:rFonts w:ascii="Arial Black" w:hAnsi="Arial Black" w:hint="default"/>
        <w:color w:val="auto"/>
      </w:rPr>
    </w:lvl>
  </w:abstractNum>
  <w:abstractNum w:abstractNumId="3" w15:restartNumberingAfterBreak="0">
    <w:nsid w:val="FFFFFF83"/>
    <w:multiLevelType w:val="singleLevel"/>
    <w:tmpl w:val="E50452DC"/>
    <w:lvl w:ilvl="0">
      <w:start w:val="1"/>
      <w:numFmt w:val="bullet"/>
      <w:pStyle w:val="ListBullet2"/>
      <w:lvlText w:val="⁄"/>
      <w:lvlJc w:val="left"/>
      <w:pPr>
        <w:ind w:left="700" w:hanging="360"/>
      </w:pPr>
      <w:rPr>
        <w:rFonts w:ascii="Montserrat Black" w:hAnsi="Montserrat Black" w:hint="default"/>
        <w:color w:val="auto"/>
      </w:rPr>
    </w:lvl>
  </w:abstractNum>
  <w:abstractNum w:abstractNumId="4" w15:restartNumberingAfterBreak="0">
    <w:nsid w:val="FFFFFF89"/>
    <w:multiLevelType w:val="singleLevel"/>
    <w:tmpl w:val="0CC2BAFC"/>
    <w:lvl w:ilvl="0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081B1836"/>
    <w:multiLevelType w:val="hybridMultilevel"/>
    <w:tmpl w:val="FACAD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7611E"/>
    <w:multiLevelType w:val="hybridMultilevel"/>
    <w:tmpl w:val="007CDDF8"/>
    <w:lvl w:ilvl="0" w:tplc="F092ABEC">
      <w:start w:val="1"/>
      <w:numFmt w:val="decimal"/>
      <w:lvlText w:val="%1."/>
      <w:lvlJc w:val="left"/>
      <w:pPr>
        <w:ind w:left="652" w:hanging="360"/>
      </w:pPr>
    </w:lvl>
    <w:lvl w:ilvl="1" w:tplc="40090019" w:tentative="1">
      <w:start w:val="1"/>
      <w:numFmt w:val="lowerLetter"/>
      <w:lvlText w:val="%2."/>
      <w:lvlJc w:val="left"/>
      <w:pPr>
        <w:ind w:left="1372" w:hanging="360"/>
      </w:pPr>
    </w:lvl>
    <w:lvl w:ilvl="2" w:tplc="4009001B" w:tentative="1">
      <w:start w:val="1"/>
      <w:numFmt w:val="lowerRoman"/>
      <w:lvlText w:val="%3."/>
      <w:lvlJc w:val="right"/>
      <w:pPr>
        <w:ind w:left="2092" w:hanging="180"/>
      </w:pPr>
    </w:lvl>
    <w:lvl w:ilvl="3" w:tplc="4009000F" w:tentative="1">
      <w:start w:val="1"/>
      <w:numFmt w:val="decimal"/>
      <w:lvlText w:val="%4."/>
      <w:lvlJc w:val="left"/>
      <w:pPr>
        <w:ind w:left="2812" w:hanging="360"/>
      </w:pPr>
    </w:lvl>
    <w:lvl w:ilvl="4" w:tplc="40090019" w:tentative="1">
      <w:start w:val="1"/>
      <w:numFmt w:val="lowerLetter"/>
      <w:lvlText w:val="%5."/>
      <w:lvlJc w:val="left"/>
      <w:pPr>
        <w:ind w:left="3532" w:hanging="360"/>
      </w:pPr>
    </w:lvl>
    <w:lvl w:ilvl="5" w:tplc="4009001B" w:tentative="1">
      <w:start w:val="1"/>
      <w:numFmt w:val="lowerRoman"/>
      <w:lvlText w:val="%6."/>
      <w:lvlJc w:val="right"/>
      <w:pPr>
        <w:ind w:left="4252" w:hanging="180"/>
      </w:pPr>
    </w:lvl>
    <w:lvl w:ilvl="6" w:tplc="4009000F" w:tentative="1">
      <w:start w:val="1"/>
      <w:numFmt w:val="decimal"/>
      <w:lvlText w:val="%7."/>
      <w:lvlJc w:val="left"/>
      <w:pPr>
        <w:ind w:left="4972" w:hanging="360"/>
      </w:pPr>
    </w:lvl>
    <w:lvl w:ilvl="7" w:tplc="40090019" w:tentative="1">
      <w:start w:val="1"/>
      <w:numFmt w:val="lowerLetter"/>
      <w:lvlText w:val="%8."/>
      <w:lvlJc w:val="left"/>
      <w:pPr>
        <w:ind w:left="5692" w:hanging="360"/>
      </w:pPr>
    </w:lvl>
    <w:lvl w:ilvl="8" w:tplc="400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7" w15:restartNumberingAfterBreak="0">
    <w:nsid w:val="1F01125E"/>
    <w:multiLevelType w:val="hybridMultilevel"/>
    <w:tmpl w:val="3C6ED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A62C4"/>
    <w:multiLevelType w:val="hybridMultilevel"/>
    <w:tmpl w:val="E3C483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B1EA2"/>
    <w:multiLevelType w:val="hybridMultilevel"/>
    <w:tmpl w:val="AFB0A8F6"/>
    <w:lvl w:ilvl="0" w:tplc="BD501B30">
      <w:start w:val="1"/>
      <w:numFmt w:val="decimal"/>
      <w:pStyle w:val="GraphTitl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36625"/>
    <w:multiLevelType w:val="hybridMultilevel"/>
    <w:tmpl w:val="C68A1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36429"/>
    <w:multiLevelType w:val="hybridMultilevel"/>
    <w:tmpl w:val="767AB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24A8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BCC522F"/>
    <w:multiLevelType w:val="hybridMultilevel"/>
    <w:tmpl w:val="44B683A8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E1E3A2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DEECC5A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81AC26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4C897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43C43EE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A4DAAC7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4EA75F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95C91B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4" w15:restartNumberingAfterBreak="0">
    <w:nsid w:val="3E755E6A"/>
    <w:multiLevelType w:val="hybridMultilevel"/>
    <w:tmpl w:val="C1F2D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63321"/>
    <w:multiLevelType w:val="hybridMultilevel"/>
    <w:tmpl w:val="850EE8D8"/>
    <w:lvl w:ilvl="0" w:tplc="5BC60D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B6BD6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94E16F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03A05B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FFB8C61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6FD26E0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212509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E84C41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8F22B41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6" w15:restartNumberingAfterBreak="0">
    <w:nsid w:val="42987BE5"/>
    <w:multiLevelType w:val="hybridMultilevel"/>
    <w:tmpl w:val="F2A8C100"/>
    <w:lvl w:ilvl="0" w:tplc="8DFA19E4">
      <w:start w:val="1"/>
      <w:numFmt w:val="decimal"/>
      <w:pStyle w:val="TableTitle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3667D"/>
    <w:multiLevelType w:val="hybridMultilevel"/>
    <w:tmpl w:val="375E9B1C"/>
    <w:lvl w:ilvl="0" w:tplc="0094A76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B39AB2F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9C82936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926E124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710C3F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8B060B6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ADCE86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B162DA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83E124E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8" w15:restartNumberingAfterBreak="0">
    <w:nsid w:val="4E902E66"/>
    <w:multiLevelType w:val="hybridMultilevel"/>
    <w:tmpl w:val="7BFA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52070"/>
    <w:multiLevelType w:val="hybridMultilevel"/>
    <w:tmpl w:val="46CC7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86D04"/>
    <w:multiLevelType w:val="hybridMultilevel"/>
    <w:tmpl w:val="F66C4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F084B"/>
    <w:multiLevelType w:val="hybridMultilevel"/>
    <w:tmpl w:val="B0F42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E2FCF"/>
    <w:multiLevelType w:val="hybridMultilevel"/>
    <w:tmpl w:val="408E10C0"/>
    <w:lvl w:ilvl="0" w:tplc="19B4542A">
      <w:start w:val="1"/>
      <w:numFmt w:val="decimal"/>
      <w:pStyle w:val="SectionHead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674B2"/>
    <w:multiLevelType w:val="hybridMultilevel"/>
    <w:tmpl w:val="311A1616"/>
    <w:lvl w:ilvl="0" w:tplc="88E05CA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88A833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89EA3A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482E09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63AAF44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D42A6F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5E4DC1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09F075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468CEC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24" w15:restartNumberingAfterBreak="0">
    <w:nsid w:val="6920349E"/>
    <w:multiLevelType w:val="hybridMultilevel"/>
    <w:tmpl w:val="B29ECB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9EB3045"/>
    <w:multiLevelType w:val="hybridMultilevel"/>
    <w:tmpl w:val="3C48FC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535CF0"/>
    <w:multiLevelType w:val="hybridMultilevel"/>
    <w:tmpl w:val="7CE03254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87AB7"/>
    <w:multiLevelType w:val="hybridMultilevel"/>
    <w:tmpl w:val="19902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392203">
    <w:abstractNumId w:val="4"/>
  </w:num>
  <w:num w:numId="2" w16cid:durableId="1955668203">
    <w:abstractNumId w:val="3"/>
  </w:num>
  <w:num w:numId="3" w16cid:durableId="1646155475">
    <w:abstractNumId w:val="2"/>
  </w:num>
  <w:num w:numId="4" w16cid:durableId="1964313312">
    <w:abstractNumId w:val="1"/>
  </w:num>
  <w:num w:numId="5" w16cid:durableId="1769620172">
    <w:abstractNumId w:val="0"/>
  </w:num>
  <w:num w:numId="6" w16cid:durableId="1739355926">
    <w:abstractNumId w:val="22"/>
  </w:num>
  <w:num w:numId="7" w16cid:durableId="237398183">
    <w:abstractNumId w:val="6"/>
  </w:num>
  <w:num w:numId="8" w16cid:durableId="997924199">
    <w:abstractNumId w:val="16"/>
  </w:num>
  <w:num w:numId="9" w16cid:durableId="476068097">
    <w:abstractNumId w:val="13"/>
  </w:num>
  <w:num w:numId="10" w16cid:durableId="1710252508">
    <w:abstractNumId w:val="15"/>
  </w:num>
  <w:num w:numId="11" w16cid:durableId="1122118893">
    <w:abstractNumId w:val="17"/>
  </w:num>
  <w:num w:numId="12" w16cid:durableId="1466973506">
    <w:abstractNumId w:val="23"/>
  </w:num>
  <w:num w:numId="13" w16cid:durableId="589236617">
    <w:abstractNumId w:val="26"/>
  </w:num>
  <w:num w:numId="14" w16cid:durableId="1307584622">
    <w:abstractNumId w:val="12"/>
  </w:num>
  <w:num w:numId="15" w16cid:durableId="642199275">
    <w:abstractNumId w:val="9"/>
  </w:num>
  <w:num w:numId="16" w16cid:durableId="638265203">
    <w:abstractNumId w:val="10"/>
  </w:num>
  <w:num w:numId="17" w16cid:durableId="1702197861">
    <w:abstractNumId w:val="18"/>
  </w:num>
  <w:num w:numId="18" w16cid:durableId="690836371">
    <w:abstractNumId w:val="27"/>
  </w:num>
  <w:num w:numId="19" w16cid:durableId="1841037890">
    <w:abstractNumId w:val="14"/>
  </w:num>
  <w:num w:numId="20" w16cid:durableId="1717271075">
    <w:abstractNumId w:val="19"/>
  </w:num>
  <w:num w:numId="21" w16cid:durableId="1673220967">
    <w:abstractNumId w:val="20"/>
  </w:num>
  <w:num w:numId="22" w16cid:durableId="901018992">
    <w:abstractNumId w:val="7"/>
  </w:num>
  <w:num w:numId="23" w16cid:durableId="1883789846">
    <w:abstractNumId w:val="21"/>
  </w:num>
  <w:num w:numId="24" w16cid:durableId="2091999598">
    <w:abstractNumId w:val="8"/>
  </w:num>
  <w:num w:numId="25" w16cid:durableId="601495679">
    <w:abstractNumId w:val="24"/>
  </w:num>
  <w:num w:numId="26" w16cid:durableId="179707462">
    <w:abstractNumId w:val="25"/>
  </w:num>
  <w:num w:numId="27" w16cid:durableId="473717703">
    <w:abstractNumId w:val="11"/>
  </w:num>
  <w:num w:numId="28" w16cid:durableId="433938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04"/>
    <w:rsid w:val="00005709"/>
    <w:rsid w:val="000058E9"/>
    <w:rsid w:val="000146F3"/>
    <w:rsid w:val="00015AAF"/>
    <w:rsid w:val="000163CC"/>
    <w:rsid w:val="00016A64"/>
    <w:rsid w:val="00023CEA"/>
    <w:rsid w:val="00031360"/>
    <w:rsid w:val="00035B38"/>
    <w:rsid w:val="00037412"/>
    <w:rsid w:val="00040CB9"/>
    <w:rsid w:val="00042EDD"/>
    <w:rsid w:val="00050130"/>
    <w:rsid w:val="0005410F"/>
    <w:rsid w:val="00057481"/>
    <w:rsid w:val="000667A8"/>
    <w:rsid w:val="000774F0"/>
    <w:rsid w:val="00092830"/>
    <w:rsid w:val="000A0307"/>
    <w:rsid w:val="000A2EF1"/>
    <w:rsid w:val="000A2F34"/>
    <w:rsid w:val="000A59AB"/>
    <w:rsid w:val="000B5ED8"/>
    <w:rsid w:val="000B7F33"/>
    <w:rsid w:val="000D0B12"/>
    <w:rsid w:val="000E3290"/>
    <w:rsid w:val="000E5EF5"/>
    <w:rsid w:val="000F0C08"/>
    <w:rsid w:val="000F1A94"/>
    <w:rsid w:val="000F259B"/>
    <w:rsid w:val="000F29D8"/>
    <w:rsid w:val="000F2C15"/>
    <w:rsid w:val="000F4622"/>
    <w:rsid w:val="001006AB"/>
    <w:rsid w:val="00102DAE"/>
    <w:rsid w:val="00107E17"/>
    <w:rsid w:val="001135BC"/>
    <w:rsid w:val="0011498E"/>
    <w:rsid w:val="00123C72"/>
    <w:rsid w:val="00126931"/>
    <w:rsid w:val="00131FEE"/>
    <w:rsid w:val="001334DF"/>
    <w:rsid w:val="001337C0"/>
    <w:rsid w:val="001411F6"/>
    <w:rsid w:val="001458CE"/>
    <w:rsid w:val="001555D2"/>
    <w:rsid w:val="00155E0A"/>
    <w:rsid w:val="00162E99"/>
    <w:rsid w:val="001643BD"/>
    <w:rsid w:val="001654F6"/>
    <w:rsid w:val="00167C82"/>
    <w:rsid w:val="00171C0B"/>
    <w:rsid w:val="00183743"/>
    <w:rsid w:val="00183776"/>
    <w:rsid w:val="0018579E"/>
    <w:rsid w:val="00194682"/>
    <w:rsid w:val="001964F4"/>
    <w:rsid w:val="00196563"/>
    <w:rsid w:val="00197C1A"/>
    <w:rsid w:val="001A14D7"/>
    <w:rsid w:val="001A4C11"/>
    <w:rsid w:val="001A4E95"/>
    <w:rsid w:val="001B190E"/>
    <w:rsid w:val="001B3D48"/>
    <w:rsid w:val="001C1DD3"/>
    <w:rsid w:val="001C4318"/>
    <w:rsid w:val="001C7835"/>
    <w:rsid w:val="001D17D1"/>
    <w:rsid w:val="001D41DE"/>
    <w:rsid w:val="001D4DE0"/>
    <w:rsid w:val="001D694B"/>
    <w:rsid w:val="001E0CF3"/>
    <w:rsid w:val="001E2261"/>
    <w:rsid w:val="001E304C"/>
    <w:rsid w:val="001E5ADD"/>
    <w:rsid w:val="001E65F2"/>
    <w:rsid w:val="001F1D08"/>
    <w:rsid w:val="001F79BE"/>
    <w:rsid w:val="002064E2"/>
    <w:rsid w:val="0021051D"/>
    <w:rsid w:val="002152B3"/>
    <w:rsid w:val="00215EC1"/>
    <w:rsid w:val="0022019D"/>
    <w:rsid w:val="00220CF8"/>
    <w:rsid w:val="002257BE"/>
    <w:rsid w:val="002257D3"/>
    <w:rsid w:val="00226C99"/>
    <w:rsid w:val="00237724"/>
    <w:rsid w:val="00251CE1"/>
    <w:rsid w:val="00252DAD"/>
    <w:rsid w:val="00256C8F"/>
    <w:rsid w:val="00257D3B"/>
    <w:rsid w:val="00265CDA"/>
    <w:rsid w:val="00266C3A"/>
    <w:rsid w:val="002912ED"/>
    <w:rsid w:val="00294A09"/>
    <w:rsid w:val="00295AE8"/>
    <w:rsid w:val="002970E5"/>
    <w:rsid w:val="002A3F73"/>
    <w:rsid w:val="002A4312"/>
    <w:rsid w:val="002B280B"/>
    <w:rsid w:val="002B2A7F"/>
    <w:rsid w:val="002C28A5"/>
    <w:rsid w:val="002C6C54"/>
    <w:rsid w:val="002D17E7"/>
    <w:rsid w:val="002D441D"/>
    <w:rsid w:val="002D63FA"/>
    <w:rsid w:val="002D7683"/>
    <w:rsid w:val="002E31E9"/>
    <w:rsid w:val="002F0BD8"/>
    <w:rsid w:val="002F1675"/>
    <w:rsid w:val="002F3F01"/>
    <w:rsid w:val="002F76A1"/>
    <w:rsid w:val="00302C15"/>
    <w:rsid w:val="00310C58"/>
    <w:rsid w:val="00320B62"/>
    <w:rsid w:val="00321F57"/>
    <w:rsid w:val="00322BBE"/>
    <w:rsid w:val="003235FF"/>
    <w:rsid w:val="00323A6B"/>
    <w:rsid w:val="00325FBB"/>
    <w:rsid w:val="00327AAE"/>
    <w:rsid w:val="00333302"/>
    <w:rsid w:val="003333FD"/>
    <w:rsid w:val="00333BE5"/>
    <w:rsid w:val="003365A5"/>
    <w:rsid w:val="00336B02"/>
    <w:rsid w:val="00344D24"/>
    <w:rsid w:val="00346CD3"/>
    <w:rsid w:val="00347C48"/>
    <w:rsid w:val="00350A26"/>
    <w:rsid w:val="00352EFF"/>
    <w:rsid w:val="003557A3"/>
    <w:rsid w:val="00357784"/>
    <w:rsid w:val="00357FAC"/>
    <w:rsid w:val="003619A6"/>
    <w:rsid w:val="00364A98"/>
    <w:rsid w:val="00366007"/>
    <w:rsid w:val="00366AD6"/>
    <w:rsid w:val="00366ECB"/>
    <w:rsid w:val="00370865"/>
    <w:rsid w:val="00372C26"/>
    <w:rsid w:val="00372D0E"/>
    <w:rsid w:val="00373495"/>
    <w:rsid w:val="00374D97"/>
    <w:rsid w:val="003854BB"/>
    <w:rsid w:val="00387D4F"/>
    <w:rsid w:val="00394BAC"/>
    <w:rsid w:val="003A1405"/>
    <w:rsid w:val="003A32D7"/>
    <w:rsid w:val="003A5ED2"/>
    <w:rsid w:val="003C0669"/>
    <w:rsid w:val="003C7A5B"/>
    <w:rsid w:val="003E0AE5"/>
    <w:rsid w:val="003E0B70"/>
    <w:rsid w:val="003F307C"/>
    <w:rsid w:val="003F40B2"/>
    <w:rsid w:val="003F4366"/>
    <w:rsid w:val="00404225"/>
    <w:rsid w:val="004069B3"/>
    <w:rsid w:val="00417BBE"/>
    <w:rsid w:val="00420F5E"/>
    <w:rsid w:val="00436270"/>
    <w:rsid w:val="00436AE7"/>
    <w:rsid w:val="0044547F"/>
    <w:rsid w:val="00450ED5"/>
    <w:rsid w:val="00451501"/>
    <w:rsid w:val="0045255C"/>
    <w:rsid w:val="00454EF9"/>
    <w:rsid w:val="00460199"/>
    <w:rsid w:val="00461B55"/>
    <w:rsid w:val="00463854"/>
    <w:rsid w:val="0046767C"/>
    <w:rsid w:val="004729C3"/>
    <w:rsid w:val="00484E0C"/>
    <w:rsid w:val="00487544"/>
    <w:rsid w:val="0049393B"/>
    <w:rsid w:val="0049795F"/>
    <w:rsid w:val="004A3B16"/>
    <w:rsid w:val="004A6608"/>
    <w:rsid w:val="004B05C2"/>
    <w:rsid w:val="004B7B17"/>
    <w:rsid w:val="004C1002"/>
    <w:rsid w:val="004C4132"/>
    <w:rsid w:val="004C47BD"/>
    <w:rsid w:val="004C4C47"/>
    <w:rsid w:val="004C4CDA"/>
    <w:rsid w:val="004C7C48"/>
    <w:rsid w:val="004D7D1E"/>
    <w:rsid w:val="004E42A4"/>
    <w:rsid w:val="004E5F36"/>
    <w:rsid w:val="004F1E2E"/>
    <w:rsid w:val="004F5A28"/>
    <w:rsid w:val="005044D3"/>
    <w:rsid w:val="00510960"/>
    <w:rsid w:val="005133BE"/>
    <w:rsid w:val="00530C68"/>
    <w:rsid w:val="00534393"/>
    <w:rsid w:val="00537208"/>
    <w:rsid w:val="005410F2"/>
    <w:rsid w:val="00544700"/>
    <w:rsid w:val="0055095A"/>
    <w:rsid w:val="00554E8A"/>
    <w:rsid w:val="00562EFC"/>
    <w:rsid w:val="005653D5"/>
    <w:rsid w:val="005670C0"/>
    <w:rsid w:val="0056786E"/>
    <w:rsid w:val="00570E96"/>
    <w:rsid w:val="00576D3E"/>
    <w:rsid w:val="005802A8"/>
    <w:rsid w:val="00586F90"/>
    <w:rsid w:val="00594500"/>
    <w:rsid w:val="00596F18"/>
    <w:rsid w:val="005A0234"/>
    <w:rsid w:val="005A0BF3"/>
    <w:rsid w:val="005A1E60"/>
    <w:rsid w:val="005A2704"/>
    <w:rsid w:val="005A3772"/>
    <w:rsid w:val="005A4DAD"/>
    <w:rsid w:val="005B0412"/>
    <w:rsid w:val="005B2380"/>
    <w:rsid w:val="005B5E03"/>
    <w:rsid w:val="005C7445"/>
    <w:rsid w:val="005D16E7"/>
    <w:rsid w:val="005D1E29"/>
    <w:rsid w:val="005D367B"/>
    <w:rsid w:val="005E034F"/>
    <w:rsid w:val="005E0425"/>
    <w:rsid w:val="005E1088"/>
    <w:rsid w:val="005E4687"/>
    <w:rsid w:val="005E7645"/>
    <w:rsid w:val="005E7EB3"/>
    <w:rsid w:val="005F0416"/>
    <w:rsid w:val="005F044B"/>
    <w:rsid w:val="005F0B5C"/>
    <w:rsid w:val="005F6BC8"/>
    <w:rsid w:val="005F6C19"/>
    <w:rsid w:val="005F7B17"/>
    <w:rsid w:val="006006C2"/>
    <w:rsid w:val="00603146"/>
    <w:rsid w:val="00607199"/>
    <w:rsid w:val="00607DDE"/>
    <w:rsid w:val="00615B3A"/>
    <w:rsid w:val="00617ABC"/>
    <w:rsid w:val="006209AD"/>
    <w:rsid w:val="0062350F"/>
    <w:rsid w:val="00630380"/>
    <w:rsid w:val="006357CE"/>
    <w:rsid w:val="00636250"/>
    <w:rsid w:val="006373B6"/>
    <w:rsid w:val="00640E8A"/>
    <w:rsid w:val="0064365D"/>
    <w:rsid w:val="00645EFB"/>
    <w:rsid w:val="00652827"/>
    <w:rsid w:val="006535C1"/>
    <w:rsid w:val="0065457B"/>
    <w:rsid w:val="00657190"/>
    <w:rsid w:val="00661206"/>
    <w:rsid w:val="00662A47"/>
    <w:rsid w:val="00664653"/>
    <w:rsid w:val="00670FCF"/>
    <w:rsid w:val="00672C38"/>
    <w:rsid w:val="006774A8"/>
    <w:rsid w:val="00680526"/>
    <w:rsid w:val="0068212D"/>
    <w:rsid w:val="0068761C"/>
    <w:rsid w:val="006A3B90"/>
    <w:rsid w:val="006B1A54"/>
    <w:rsid w:val="006C13B4"/>
    <w:rsid w:val="006C1468"/>
    <w:rsid w:val="006C181D"/>
    <w:rsid w:val="006C6341"/>
    <w:rsid w:val="006D23A6"/>
    <w:rsid w:val="006D74D7"/>
    <w:rsid w:val="006E11D4"/>
    <w:rsid w:val="006E5627"/>
    <w:rsid w:val="006F03BC"/>
    <w:rsid w:val="00706671"/>
    <w:rsid w:val="00706A29"/>
    <w:rsid w:val="00707FA1"/>
    <w:rsid w:val="00710008"/>
    <w:rsid w:val="00715381"/>
    <w:rsid w:val="00723625"/>
    <w:rsid w:val="007411E0"/>
    <w:rsid w:val="00742546"/>
    <w:rsid w:val="00750614"/>
    <w:rsid w:val="007517B5"/>
    <w:rsid w:val="007604FF"/>
    <w:rsid w:val="007619FB"/>
    <w:rsid w:val="00765D01"/>
    <w:rsid w:val="00771FCE"/>
    <w:rsid w:val="00774F3F"/>
    <w:rsid w:val="00782103"/>
    <w:rsid w:val="00784D3F"/>
    <w:rsid w:val="00786446"/>
    <w:rsid w:val="007906C7"/>
    <w:rsid w:val="007924A0"/>
    <w:rsid w:val="00792F4D"/>
    <w:rsid w:val="007952EF"/>
    <w:rsid w:val="007C225C"/>
    <w:rsid w:val="007C28A8"/>
    <w:rsid w:val="007C2F17"/>
    <w:rsid w:val="007C5196"/>
    <w:rsid w:val="007C7992"/>
    <w:rsid w:val="007D091E"/>
    <w:rsid w:val="007D3CFF"/>
    <w:rsid w:val="007D745F"/>
    <w:rsid w:val="007E4151"/>
    <w:rsid w:val="007E5AB7"/>
    <w:rsid w:val="007E7C1D"/>
    <w:rsid w:val="007E7FB2"/>
    <w:rsid w:val="007F59A2"/>
    <w:rsid w:val="00804BE3"/>
    <w:rsid w:val="0080517D"/>
    <w:rsid w:val="00807260"/>
    <w:rsid w:val="00813F6C"/>
    <w:rsid w:val="00817E18"/>
    <w:rsid w:val="00822A12"/>
    <w:rsid w:val="00823769"/>
    <w:rsid w:val="00840DAF"/>
    <w:rsid w:val="00843DAB"/>
    <w:rsid w:val="00846499"/>
    <w:rsid w:val="00850E2B"/>
    <w:rsid w:val="00862449"/>
    <w:rsid w:val="00862BD6"/>
    <w:rsid w:val="00866339"/>
    <w:rsid w:val="00867450"/>
    <w:rsid w:val="0087107A"/>
    <w:rsid w:val="00871DFB"/>
    <w:rsid w:val="00872D32"/>
    <w:rsid w:val="008742A2"/>
    <w:rsid w:val="00887F0D"/>
    <w:rsid w:val="00892D67"/>
    <w:rsid w:val="00896BB7"/>
    <w:rsid w:val="0089712F"/>
    <w:rsid w:val="008A26F5"/>
    <w:rsid w:val="008A6B1A"/>
    <w:rsid w:val="008A6D14"/>
    <w:rsid w:val="008B3AA1"/>
    <w:rsid w:val="008B3AF3"/>
    <w:rsid w:val="008B4EFB"/>
    <w:rsid w:val="008B6467"/>
    <w:rsid w:val="008B6ACC"/>
    <w:rsid w:val="008C05DB"/>
    <w:rsid w:val="008C08D5"/>
    <w:rsid w:val="008C5E9A"/>
    <w:rsid w:val="008D0149"/>
    <w:rsid w:val="008D35FB"/>
    <w:rsid w:val="008D5849"/>
    <w:rsid w:val="008D625D"/>
    <w:rsid w:val="008E2B43"/>
    <w:rsid w:val="008E33FD"/>
    <w:rsid w:val="008E37EE"/>
    <w:rsid w:val="008E5845"/>
    <w:rsid w:val="008F33C4"/>
    <w:rsid w:val="00903C0C"/>
    <w:rsid w:val="00914E75"/>
    <w:rsid w:val="009174DF"/>
    <w:rsid w:val="00920C33"/>
    <w:rsid w:val="00921CDF"/>
    <w:rsid w:val="00931BE7"/>
    <w:rsid w:val="00933A6D"/>
    <w:rsid w:val="00936B9B"/>
    <w:rsid w:val="0094002E"/>
    <w:rsid w:val="00941378"/>
    <w:rsid w:val="00943713"/>
    <w:rsid w:val="00956459"/>
    <w:rsid w:val="009610F4"/>
    <w:rsid w:val="0096234A"/>
    <w:rsid w:val="0096711E"/>
    <w:rsid w:val="00970C60"/>
    <w:rsid w:val="00974117"/>
    <w:rsid w:val="00974A63"/>
    <w:rsid w:val="00977026"/>
    <w:rsid w:val="00977A3F"/>
    <w:rsid w:val="009A1904"/>
    <w:rsid w:val="009B4BF2"/>
    <w:rsid w:val="009B55DC"/>
    <w:rsid w:val="009C02A7"/>
    <w:rsid w:val="009C2D1B"/>
    <w:rsid w:val="009C50EB"/>
    <w:rsid w:val="009D5080"/>
    <w:rsid w:val="009D7B04"/>
    <w:rsid w:val="009E1ABB"/>
    <w:rsid w:val="009E230F"/>
    <w:rsid w:val="009E6209"/>
    <w:rsid w:val="009E7F9C"/>
    <w:rsid w:val="009F2EFE"/>
    <w:rsid w:val="00A019FA"/>
    <w:rsid w:val="00A12D17"/>
    <w:rsid w:val="00A14121"/>
    <w:rsid w:val="00A22E7F"/>
    <w:rsid w:val="00A30780"/>
    <w:rsid w:val="00A3680A"/>
    <w:rsid w:val="00A404AB"/>
    <w:rsid w:val="00A451FB"/>
    <w:rsid w:val="00A530BC"/>
    <w:rsid w:val="00A55A31"/>
    <w:rsid w:val="00A6032A"/>
    <w:rsid w:val="00A663F7"/>
    <w:rsid w:val="00A713D0"/>
    <w:rsid w:val="00A81133"/>
    <w:rsid w:val="00A90D51"/>
    <w:rsid w:val="00A91060"/>
    <w:rsid w:val="00A940DD"/>
    <w:rsid w:val="00A964E6"/>
    <w:rsid w:val="00AA0B35"/>
    <w:rsid w:val="00AA5410"/>
    <w:rsid w:val="00AB6F1C"/>
    <w:rsid w:val="00AC0886"/>
    <w:rsid w:val="00AC1571"/>
    <w:rsid w:val="00AC15BF"/>
    <w:rsid w:val="00AD698F"/>
    <w:rsid w:val="00AF081E"/>
    <w:rsid w:val="00AF24FD"/>
    <w:rsid w:val="00AF331B"/>
    <w:rsid w:val="00AF50F8"/>
    <w:rsid w:val="00AF6F5D"/>
    <w:rsid w:val="00AF7706"/>
    <w:rsid w:val="00B04B27"/>
    <w:rsid w:val="00B0558C"/>
    <w:rsid w:val="00B0647E"/>
    <w:rsid w:val="00B14932"/>
    <w:rsid w:val="00B15D41"/>
    <w:rsid w:val="00B16B1E"/>
    <w:rsid w:val="00B20A87"/>
    <w:rsid w:val="00B23E4F"/>
    <w:rsid w:val="00B27295"/>
    <w:rsid w:val="00B35915"/>
    <w:rsid w:val="00B3744D"/>
    <w:rsid w:val="00B41CB5"/>
    <w:rsid w:val="00B453EF"/>
    <w:rsid w:val="00B45FF7"/>
    <w:rsid w:val="00B53353"/>
    <w:rsid w:val="00B622D1"/>
    <w:rsid w:val="00B62FC5"/>
    <w:rsid w:val="00B758A6"/>
    <w:rsid w:val="00B75C3F"/>
    <w:rsid w:val="00B769FB"/>
    <w:rsid w:val="00B85AAB"/>
    <w:rsid w:val="00B9036F"/>
    <w:rsid w:val="00B91D52"/>
    <w:rsid w:val="00BA1CFD"/>
    <w:rsid w:val="00BA2BE6"/>
    <w:rsid w:val="00BB0B7C"/>
    <w:rsid w:val="00BB3960"/>
    <w:rsid w:val="00BB4E31"/>
    <w:rsid w:val="00BC03FA"/>
    <w:rsid w:val="00BD045C"/>
    <w:rsid w:val="00BD2319"/>
    <w:rsid w:val="00BD24B6"/>
    <w:rsid w:val="00BD6E79"/>
    <w:rsid w:val="00BE4DBC"/>
    <w:rsid w:val="00BF4B6B"/>
    <w:rsid w:val="00BF651A"/>
    <w:rsid w:val="00C071F1"/>
    <w:rsid w:val="00C106FD"/>
    <w:rsid w:val="00C12667"/>
    <w:rsid w:val="00C13B1F"/>
    <w:rsid w:val="00C2113F"/>
    <w:rsid w:val="00C217B6"/>
    <w:rsid w:val="00C21E0C"/>
    <w:rsid w:val="00C239E7"/>
    <w:rsid w:val="00C25426"/>
    <w:rsid w:val="00C25CD2"/>
    <w:rsid w:val="00C31AFB"/>
    <w:rsid w:val="00C32972"/>
    <w:rsid w:val="00C33C31"/>
    <w:rsid w:val="00C42484"/>
    <w:rsid w:val="00C43C79"/>
    <w:rsid w:val="00C51A97"/>
    <w:rsid w:val="00C52EB0"/>
    <w:rsid w:val="00C60377"/>
    <w:rsid w:val="00C64368"/>
    <w:rsid w:val="00C73CA4"/>
    <w:rsid w:val="00C740A0"/>
    <w:rsid w:val="00C766B2"/>
    <w:rsid w:val="00C76E4F"/>
    <w:rsid w:val="00C810A0"/>
    <w:rsid w:val="00C838D6"/>
    <w:rsid w:val="00C838D8"/>
    <w:rsid w:val="00C84FC1"/>
    <w:rsid w:val="00C86D05"/>
    <w:rsid w:val="00C87494"/>
    <w:rsid w:val="00C9340E"/>
    <w:rsid w:val="00C95386"/>
    <w:rsid w:val="00C975C1"/>
    <w:rsid w:val="00CA3225"/>
    <w:rsid w:val="00CA4AB7"/>
    <w:rsid w:val="00CC16BE"/>
    <w:rsid w:val="00CC4DA3"/>
    <w:rsid w:val="00CC776E"/>
    <w:rsid w:val="00CC793D"/>
    <w:rsid w:val="00CD5BE8"/>
    <w:rsid w:val="00CE3434"/>
    <w:rsid w:val="00CE523D"/>
    <w:rsid w:val="00CF1A90"/>
    <w:rsid w:val="00CF662F"/>
    <w:rsid w:val="00CF7B21"/>
    <w:rsid w:val="00CF7D14"/>
    <w:rsid w:val="00D02E21"/>
    <w:rsid w:val="00D11B9B"/>
    <w:rsid w:val="00D1218F"/>
    <w:rsid w:val="00D13DDB"/>
    <w:rsid w:val="00D14683"/>
    <w:rsid w:val="00D20749"/>
    <w:rsid w:val="00D24CEF"/>
    <w:rsid w:val="00D30707"/>
    <w:rsid w:val="00D33C36"/>
    <w:rsid w:val="00D34D3E"/>
    <w:rsid w:val="00D351DA"/>
    <w:rsid w:val="00D3613C"/>
    <w:rsid w:val="00D370E1"/>
    <w:rsid w:val="00D4589E"/>
    <w:rsid w:val="00D4642B"/>
    <w:rsid w:val="00D509D9"/>
    <w:rsid w:val="00D566CF"/>
    <w:rsid w:val="00D56B49"/>
    <w:rsid w:val="00D64255"/>
    <w:rsid w:val="00D653D2"/>
    <w:rsid w:val="00D662C8"/>
    <w:rsid w:val="00D66C1B"/>
    <w:rsid w:val="00D70D49"/>
    <w:rsid w:val="00D7496A"/>
    <w:rsid w:val="00D754EA"/>
    <w:rsid w:val="00D77417"/>
    <w:rsid w:val="00D8076F"/>
    <w:rsid w:val="00D85BF8"/>
    <w:rsid w:val="00D927D5"/>
    <w:rsid w:val="00DA2882"/>
    <w:rsid w:val="00DA2CA6"/>
    <w:rsid w:val="00DB0786"/>
    <w:rsid w:val="00DB43C5"/>
    <w:rsid w:val="00DB68A3"/>
    <w:rsid w:val="00DB7B4D"/>
    <w:rsid w:val="00DC2BCA"/>
    <w:rsid w:val="00DC5E98"/>
    <w:rsid w:val="00DC6A03"/>
    <w:rsid w:val="00DD1369"/>
    <w:rsid w:val="00DD2352"/>
    <w:rsid w:val="00DD50C7"/>
    <w:rsid w:val="00DD655F"/>
    <w:rsid w:val="00DD6D4E"/>
    <w:rsid w:val="00DD732C"/>
    <w:rsid w:val="00DD7BC4"/>
    <w:rsid w:val="00DE1DE5"/>
    <w:rsid w:val="00DE3D43"/>
    <w:rsid w:val="00DE40A6"/>
    <w:rsid w:val="00DE40FB"/>
    <w:rsid w:val="00DF25C5"/>
    <w:rsid w:val="00E02C70"/>
    <w:rsid w:val="00E07719"/>
    <w:rsid w:val="00E11C8A"/>
    <w:rsid w:val="00E21C01"/>
    <w:rsid w:val="00E237E0"/>
    <w:rsid w:val="00E25F87"/>
    <w:rsid w:val="00E31014"/>
    <w:rsid w:val="00E3389D"/>
    <w:rsid w:val="00E34762"/>
    <w:rsid w:val="00E42AB2"/>
    <w:rsid w:val="00E436F7"/>
    <w:rsid w:val="00E443FC"/>
    <w:rsid w:val="00E44413"/>
    <w:rsid w:val="00E458F2"/>
    <w:rsid w:val="00E53BFA"/>
    <w:rsid w:val="00E56ACC"/>
    <w:rsid w:val="00E57FF5"/>
    <w:rsid w:val="00E629EB"/>
    <w:rsid w:val="00E640AC"/>
    <w:rsid w:val="00E64FCC"/>
    <w:rsid w:val="00E65A51"/>
    <w:rsid w:val="00E67674"/>
    <w:rsid w:val="00E67B23"/>
    <w:rsid w:val="00E67C39"/>
    <w:rsid w:val="00E733C4"/>
    <w:rsid w:val="00E7686F"/>
    <w:rsid w:val="00E76A38"/>
    <w:rsid w:val="00E77450"/>
    <w:rsid w:val="00E80984"/>
    <w:rsid w:val="00E85069"/>
    <w:rsid w:val="00E90A1A"/>
    <w:rsid w:val="00E90C6C"/>
    <w:rsid w:val="00E93382"/>
    <w:rsid w:val="00E94837"/>
    <w:rsid w:val="00EA3C31"/>
    <w:rsid w:val="00EA78B3"/>
    <w:rsid w:val="00EB03C4"/>
    <w:rsid w:val="00EB4AD4"/>
    <w:rsid w:val="00EB5E89"/>
    <w:rsid w:val="00EB7AA9"/>
    <w:rsid w:val="00EC386D"/>
    <w:rsid w:val="00ED253A"/>
    <w:rsid w:val="00ED5C71"/>
    <w:rsid w:val="00ED6E1D"/>
    <w:rsid w:val="00EF0367"/>
    <w:rsid w:val="00EF2C3F"/>
    <w:rsid w:val="00EF75A8"/>
    <w:rsid w:val="00F00112"/>
    <w:rsid w:val="00F00630"/>
    <w:rsid w:val="00F051F1"/>
    <w:rsid w:val="00F1053F"/>
    <w:rsid w:val="00F1068D"/>
    <w:rsid w:val="00F12A59"/>
    <w:rsid w:val="00F1771B"/>
    <w:rsid w:val="00F2683B"/>
    <w:rsid w:val="00F35BDA"/>
    <w:rsid w:val="00F43309"/>
    <w:rsid w:val="00F452BD"/>
    <w:rsid w:val="00F45AEF"/>
    <w:rsid w:val="00F53547"/>
    <w:rsid w:val="00F5591F"/>
    <w:rsid w:val="00F61DB8"/>
    <w:rsid w:val="00F621F9"/>
    <w:rsid w:val="00F62A27"/>
    <w:rsid w:val="00F652F7"/>
    <w:rsid w:val="00F76839"/>
    <w:rsid w:val="00F87996"/>
    <w:rsid w:val="00F92D63"/>
    <w:rsid w:val="00F9474D"/>
    <w:rsid w:val="00FA7F0B"/>
    <w:rsid w:val="00FC2E1A"/>
    <w:rsid w:val="00FC7984"/>
    <w:rsid w:val="00FE0CCB"/>
    <w:rsid w:val="00FF0466"/>
    <w:rsid w:val="00FF4336"/>
    <w:rsid w:val="00FF4F0B"/>
    <w:rsid w:val="3A069191"/>
    <w:rsid w:val="4A69A6BA"/>
    <w:rsid w:val="75953B76"/>
    <w:rsid w:val="7FAE9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BE69A4"/>
  <w14:defaultImageDpi w14:val="330"/>
  <w15:chartTrackingRefBased/>
  <w15:docId w15:val="{A4FAA850-C21C-4228-B6D8-CAFDF241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B55"/>
    <w:pPr>
      <w:spacing w:before="12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A019FA"/>
    <w:pPr>
      <w:keepNext/>
      <w:keepLines/>
      <w:spacing w:before="400" w:line="264" w:lineRule="auto"/>
      <w:outlineLvl w:val="0"/>
    </w:pPr>
    <w:rPr>
      <w:rFonts w:asciiTheme="majorHAnsi" w:eastAsiaTheme="majorEastAsia" w:hAnsiTheme="majorHAnsi" w:cstheme="majorBidi"/>
      <w:color w:val="1A1A1A" w:themeColor="accent1" w:themeShade="BF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019FA"/>
    <w:pPr>
      <w:spacing w:before="200" w:after="120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A019FA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color w:val="11111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A01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1A1A1A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6774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2009B" w:themeColor="accent6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A019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CEB9D" w:themeColor="accent5"/>
    </w:rPr>
  </w:style>
  <w:style w:type="paragraph" w:styleId="Heading7">
    <w:name w:val="heading 7"/>
    <w:basedOn w:val="Normal"/>
    <w:next w:val="Normal"/>
    <w:link w:val="Heading7Char"/>
    <w:uiPriority w:val="2"/>
    <w:unhideWhenUsed/>
    <w:qFormat/>
    <w:rsid w:val="00E809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CAEAC" w:themeColor="accent2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E809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E6E6E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707FA1"/>
    <w:rPr>
      <w:rFonts w:asciiTheme="majorHAnsi" w:eastAsiaTheme="majorEastAsia" w:hAnsiTheme="majorHAnsi" w:cstheme="majorBidi"/>
      <w:color w:val="11111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707FA1"/>
    <w:rPr>
      <w:rFonts w:asciiTheme="majorHAnsi" w:eastAsiaTheme="majorEastAsia" w:hAnsiTheme="majorHAnsi" w:cstheme="majorBidi"/>
      <w:iCs/>
      <w:color w:val="1A1A1A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707FA1"/>
    <w:rPr>
      <w:rFonts w:asciiTheme="majorHAnsi" w:eastAsiaTheme="majorEastAsia" w:hAnsiTheme="majorHAnsi" w:cstheme="majorBidi"/>
      <w:color w:val="82009B" w:themeColor="accent6"/>
      <w:lang w:val="en-US"/>
    </w:rPr>
  </w:style>
  <w:style w:type="character" w:customStyle="1" w:styleId="Heading6Char">
    <w:name w:val="Heading 6 Char"/>
    <w:basedOn w:val="DefaultParagraphFont"/>
    <w:link w:val="Heading6"/>
    <w:uiPriority w:val="2"/>
    <w:rsid w:val="00707FA1"/>
    <w:rPr>
      <w:rFonts w:asciiTheme="majorHAnsi" w:eastAsiaTheme="majorEastAsia" w:hAnsiTheme="majorHAnsi" w:cstheme="majorBidi"/>
      <w:color w:val="3CEB9D" w:themeColor="accent5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53547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547"/>
    <w:rPr>
      <w:rFonts w:asciiTheme="majorHAnsi" w:eastAsiaTheme="majorEastAsia" w:hAnsiTheme="majorHAnsi" w:cstheme="majorBidi"/>
      <w:b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319"/>
    <w:pPr>
      <w:numPr>
        <w:ilvl w:val="1"/>
      </w:numPr>
      <w:spacing w:before="240" w:after="240"/>
    </w:pPr>
    <w:rPr>
      <w:rFonts w:eastAsiaTheme="minorEastAsia"/>
      <w:color w:val="ACAEAC" w:themeColor="accen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D2319"/>
    <w:rPr>
      <w:rFonts w:eastAsiaTheme="minorEastAsia"/>
      <w:color w:val="ACAEAC" w:themeColor="accent2"/>
      <w:sz w:val="40"/>
    </w:rPr>
  </w:style>
  <w:style w:type="character" w:styleId="BookTitle">
    <w:name w:val="Book Title"/>
    <w:basedOn w:val="DefaultParagraphFont"/>
    <w:uiPriority w:val="33"/>
    <w:semiHidden/>
    <w:qFormat/>
    <w:rsid w:val="0056786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3619A6"/>
    <w:pPr>
      <w:outlineLvl w:val="9"/>
    </w:pPr>
    <w:rPr>
      <w:color w:val="232323" w:themeColor="accent1"/>
      <w:kern w:val="0"/>
      <w:sz w:val="72"/>
      <w14:ligatures w14:val="none"/>
    </w:rPr>
  </w:style>
  <w:style w:type="paragraph" w:styleId="TOC1">
    <w:name w:val="toc 1"/>
    <w:basedOn w:val="Normal"/>
    <w:next w:val="Normal"/>
    <w:autoRedefine/>
    <w:uiPriority w:val="39"/>
    <w:rsid w:val="00D653D2"/>
    <w:pPr>
      <w:tabs>
        <w:tab w:val="left" w:pos="397"/>
        <w:tab w:val="right" w:leader="dot" w:pos="10252"/>
      </w:tabs>
      <w:spacing w:before="240" w:after="100"/>
      <w:ind w:left="57" w:firstLine="57"/>
    </w:pPr>
  </w:style>
  <w:style w:type="paragraph" w:styleId="TOC2">
    <w:name w:val="toc 2"/>
    <w:basedOn w:val="Normal"/>
    <w:next w:val="Normal"/>
    <w:autoRedefine/>
    <w:uiPriority w:val="39"/>
    <w:rsid w:val="00D653D2"/>
    <w:pPr>
      <w:spacing w:after="100"/>
      <w:ind w:left="340" w:firstLine="340"/>
    </w:pPr>
  </w:style>
  <w:style w:type="paragraph" w:styleId="TOC3">
    <w:name w:val="toc 3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character" w:styleId="Hyperlink">
    <w:name w:val="Hyperlink"/>
    <w:basedOn w:val="DefaultParagraphFont"/>
    <w:uiPriority w:val="99"/>
    <w:rsid w:val="0056786E"/>
    <w:rPr>
      <w:color w:val="82009B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12F"/>
    <w:rPr>
      <w:b/>
      <w:bCs/>
    </w:rPr>
  </w:style>
  <w:style w:type="character" w:styleId="Emphasis">
    <w:name w:val="Emphasis"/>
    <w:basedOn w:val="DefaultParagraphFont"/>
    <w:uiPriority w:val="20"/>
    <w:qFormat/>
    <w:rsid w:val="0089712F"/>
    <w:rPr>
      <w:i/>
      <w:iCs/>
    </w:rPr>
  </w:style>
  <w:style w:type="character" w:customStyle="1" w:styleId="YellowText">
    <w:name w:val="Yellow Text"/>
    <w:basedOn w:val="DefaultParagraphFont"/>
    <w:uiPriority w:val="4"/>
    <w:qFormat/>
    <w:rsid w:val="0089712F"/>
    <w:rPr>
      <w:color w:val="EBFE41" w:themeColor="accent4"/>
    </w:rPr>
  </w:style>
  <w:style w:type="paragraph" w:customStyle="1" w:styleId="DarkBlock">
    <w:name w:val="Dark Block"/>
    <w:basedOn w:val="Normal"/>
    <w:link w:val="DarkBlockChar"/>
    <w:uiPriority w:val="14"/>
    <w:qFormat/>
    <w:rsid w:val="001F1D08"/>
    <w:pPr>
      <w:pBdr>
        <w:top w:val="single" w:sz="48" w:space="31" w:color="232323" w:themeColor="text2"/>
        <w:left w:val="single" w:sz="48" w:space="31" w:color="232323" w:themeColor="text2"/>
        <w:bottom w:val="single" w:sz="48" w:space="31" w:color="232323" w:themeColor="text2"/>
        <w:right w:val="single" w:sz="48" w:space="31" w:color="232323" w:themeColor="text2"/>
      </w:pBdr>
      <w:shd w:val="clear" w:color="auto" w:fill="232323" w:themeFill="text2"/>
      <w:ind w:left="-68" w:right="-68"/>
    </w:pPr>
    <w:rPr>
      <w:rFonts w:asciiTheme="majorHAnsi" w:hAnsiTheme="majorHAnsi"/>
      <w:color w:val="FEFEFE" w:themeColor="background1"/>
      <w:sz w:val="56"/>
    </w:rPr>
  </w:style>
  <w:style w:type="paragraph" w:styleId="NoSpacing">
    <w:name w:val="No Spacing"/>
    <w:link w:val="NoSpacingChar"/>
    <w:uiPriority w:val="1"/>
    <w:qFormat/>
    <w:rsid w:val="009174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rsid w:val="00F00630"/>
    <w:pPr>
      <w:tabs>
        <w:tab w:val="center" w:pos="4513"/>
        <w:tab w:val="right" w:pos="9026"/>
      </w:tabs>
      <w:spacing w:before="40" w:after="40" w:line="240" w:lineRule="auto"/>
      <w:jc w:val="right"/>
    </w:pPr>
    <w:rPr>
      <w:color w:val="909090" w:themeColor="text1" w:themeTint="80"/>
      <w:sz w:val="19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07FA1"/>
    <w:rPr>
      <w:color w:val="909090" w:themeColor="text1" w:themeTint="80"/>
      <w:sz w:val="19"/>
      <w:lang w:val="en-US"/>
    </w:rPr>
  </w:style>
  <w:style w:type="paragraph" w:styleId="Footer">
    <w:name w:val="footer"/>
    <w:basedOn w:val="Normal"/>
    <w:link w:val="FooterChar"/>
    <w:uiPriority w:val="99"/>
    <w:semiHidden/>
    <w:rsid w:val="00BA2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FA1"/>
    <w:rPr>
      <w:lang w:val="en-US"/>
    </w:rPr>
  </w:style>
  <w:style w:type="paragraph" w:customStyle="1" w:styleId="SectionHeader">
    <w:name w:val="Section Header"/>
    <w:basedOn w:val="Heading1"/>
    <w:link w:val="SectionHeaderChar"/>
    <w:uiPriority w:val="13"/>
    <w:qFormat/>
    <w:rsid w:val="003C0669"/>
    <w:pPr>
      <w:numPr>
        <w:numId w:val="6"/>
      </w:numPr>
      <w:ind w:left="0" w:firstLine="0"/>
    </w:pPr>
    <w:rPr>
      <w:sz w:val="72"/>
    </w:rPr>
  </w:style>
  <w:style w:type="paragraph" w:customStyle="1" w:styleId="SectionSubtitle">
    <w:name w:val="Section Subtitle"/>
    <w:basedOn w:val="Subtitle"/>
    <w:uiPriority w:val="24"/>
    <w:qFormat/>
    <w:rsid w:val="00A019FA"/>
    <w:pPr>
      <w:spacing w:before="160" w:line="269" w:lineRule="auto"/>
    </w:pPr>
    <w:rPr>
      <w:color w:val="82009B" w:themeColor="accent6"/>
    </w:rPr>
  </w:style>
  <w:style w:type="character" w:styleId="PlaceholderText">
    <w:name w:val="Placeholder Text"/>
    <w:basedOn w:val="DefaultParagraphFont"/>
    <w:uiPriority w:val="99"/>
    <w:semiHidden/>
    <w:rsid w:val="00450ED5"/>
    <w:rPr>
      <w:color w:val="666666"/>
    </w:rPr>
  </w:style>
  <w:style w:type="paragraph" w:customStyle="1" w:styleId="GraphiteBlock">
    <w:name w:val="Graphite Block"/>
    <w:basedOn w:val="DarkBlock"/>
    <w:uiPriority w:val="8"/>
    <w:qFormat/>
    <w:rsid w:val="007D745F"/>
    <w:pPr>
      <w:pBdr>
        <w:top w:val="single" w:sz="48" w:space="20" w:color="232323" w:themeColor="text2"/>
        <w:bottom w:val="single" w:sz="48" w:space="20" w:color="232323" w:themeColor="text2"/>
      </w:pBdr>
      <w:spacing w:line="264" w:lineRule="auto"/>
    </w:pPr>
    <w:rPr>
      <w:rFonts w:asciiTheme="minorHAnsi" w:hAnsiTheme="minorHAnsi"/>
      <w:noProof/>
      <w:sz w:val="28"/>
    </w:rPr>
  </w:style>
  <w:style w:type="paragraph" w:customStyle="1" w:styleId="MintBlock">
    <w:name w:val="Mint Block"/>
    <w:basedOn w:val="GraphiteBlock"/>
    <w:uiPriority w:val="8"/>
    <w:qFormat/>
    <w:rsid w:val="007D745F"/>
    <w:pPr>
      <w:pBdr>
        <w:top w:val="single" w:sz="48" w:space="20" w:color="3CEB9D" w:themeColor="accent5"/>
        <w:left w:val="single" w:sz="48" w:space="31" w:color="3CEB9D" w:themeColor="accent5"/>
        <w:bottom w:val="single" w:sz="48" w:space="20" w:color="3CEB9D" w:themeColor="accent5"/>
        <w:right w:val="single" w:sz="48" w:space="31" w:color="3CEB9D" w:themeColor="accent5"/>
      </w:pBdr>
      <w:shd w:val="clear" w:color="auto" w:fill="3CEB9D" w:themeFill="accent5"/>
    </w:pPr>
    <w:rPr>
      <w:color w:val="auto"/>
    </w:rPr>
  </w:style>
  <w:style w:type="paragraph" w:customStyle="1" w:styleId="PurpleBlock">
    <w:name w:val="Purple Block"/>
    <w:basedOn w:val="MintBlock"/>
    <w:uiPriority w:val="8"/>
    <w:qFormat/>
    <w:rsid w:val="007D745F"/>
    <w:pPr>
      <w:pBdr>
        <w:top w:val="single" w:sz="48" w:space="20" w:color="82009B" w:themeColor="accent6"/>
        <w:left w:val="single" w:sz="48" w:space="31" w:color="82009B" w:themeColor="accent6"/>
        <w:bottom w:val="single" w:sz="48" w:space="20" w:color="82009B" w:themeColor="accent6"/>
        <w:right w:val="single" w:sz="48" w:space="31" w:color="82009B" w:themeColor="accent6"/>
      </w:pBdr>
      <w:shd w:val="clear" w:color="auto" w:fill="82009B" w:themeFill="accent6"/>
    </w:pPr>
  </w:style>
  <w:style w:type="paragraph" w:customStyle="1" w:styleId="YellowBlock">
    <w:name w:val="Yellow Block"/>
    <w:basedOn w:val="PurpleBlock"/>
    <w:uiPriority w:val="8"/>
    <w:qFormat/>
    <w:rsid w:val="007D745F"/>
    <w:pPr>
      <w:pBdr>
        <w:top w:val="single" w:sz="48" w:space="20" w:color="EBFE41" w:themeColor="accent4"/>
        <w:left w:val="single" w:sz="48" w:space="31" w:color="EBFE41" w:themeColor="accent4"/>
        <w:bottom w:val="single" w:sz="48" w:space="20" w:color="EBFE41" w:themeColor="accent4"/>
        <w:right w:val="single" w:sz="48" w:space="31" w:color="EBFE41" w:themeColor="accent4"/>
      </w:pBdr>
      <w:shd w:val="clear" w:color="auto" w:fill="EBFE41" w:themeFill="accent4"/>
    </w:pPr>
  </w:style>
  <w:style w:type="paragraph" w:customStyle="1" w:styleId="AshGreyBlock">
    <w:name w:val="Ash Grey Block"/>
    <w:basedOn w:val="YellowBlock"/>
    <w:uiPriority w:val="8"/>
    <w:qFormat/>
    <w:rsid w:val="007D745F"/>
    <w:pPr>
      <w:pBdr>
        <w:top w:val="single" w:sz="48" w:space="20" w:color="ACAEAC" w:themeColor="accent2"/>
        <w:left w:val="single" w:sz="48" w:space="31" w:color="ACAEAC" w:themeColor="accent2"/>
        <w:bottom w:val="single" w:sz="48" w:space="20" w:color="ACAEAC" w:themeColor="accent2"/>
        <w:right w:val="single" w:sz="48" w:space="31" w:color="ACAEAC" w:themeColor="accent2"/>
      </w:pBdr>
      <w:shd w:val="clear" w:color="auto" w:fill="ACAEAC" w:themeFill="accent2"/>
    </w:pPr>
  </w:style>
  <w:style w:type="paragraph" w:customStyle="1" w:styleId="PaleGreyBlock">
    <w:name w:val="Pale Grey Block"/>
    <w:basedOn w:val="AshGreyBlock"/>
    <w:uiPriority w:val="8"/>
    <w:qFormat/>
    <w:rsid w:val="007D745F"/>
    <w:pPr>
      <w:pBdr>
        <w:top w:val="single" w:sz="48" w:space="20" w:color="E6E6E6" w:themeColor="accent3"/>
        <w:left w:val="single" w:sz="48" w:space="31" w:color="E6E6E6" w:themeColor="accent3"/>
        <w:bottom w:val="single" w:sz="48" w:space="20" w:color="E6E6E6" w:themeColor="accent3"/>
        <w:right w:val="single" w:sz="48" w:space="31" w:color="E6E6E6" w:themeColor="accent3"/>
      </w:pBdr>
      <w:shd w:val="clear" w:color="auto" w:fill="E6E6E6" w:themeFill="accent3"/>
    </w:pPr>
  </w:style>
  <w:style w:type="paragraph" w:styleId="ListBullet">
    <w:name w:val="List Bullet"/>
    <w:basedOn w:val="Normal"/>
    <w:uiPriority w:val="3"/>
    <w:unhideWhenUsed/>
    <w:rsid w:val="00B3744D"/>
    <w:pPr>
      <w:numPr>
        <w:numId w:val="1"/>
      </w:numPr>
      <w:ind w:left="340" w:hanging="340"/>
      <w:contextualSpacing/>
    </w:pPr>
  </w:style>
  <w:style w:type="paragraph" w:styleId="ListBullet2">
    <w:name w:val="List Bullet 2"/>
    <w:basedOn w:val="Normal"/>
    <w:uiPriority w:val="3"/>
    <w:unhideWhenUsed/>
    <w:rsid w:val="00B3744D"/>
    <w:pPr>
      <w:numPr>
        <w:numId w:val="2"/>
      </w:numPr>
      <w:ind w:left="680" w:hanging="340"/>
      <w:contextualSpacing/>
    </w:pPr>
  </w:style>
  <w:style w:type="paragraph" w:styleId="ListBullet3">
    <w:name w:val="List Bullet 3"/>
    <w:basedOn w:val="Normal"/>
    <w:uiPriority w:val="3"/>
    <w:unhideWhenUsed/>
    <w:rsid w:val="00B3744D"/>
    <w:pPr>
      <w:numPr>
        <w:numId w:val="3"/>
      </w:numPr>
      <w:ind w:left="1020" w:hanging="340"/>
      <w:contextualSpacing/>
    </w:pPr>
  </w:style>
  <w:style w:type="paragraph" w:styleId="ListBullet4">
    <w:name w:val="List Bullet 4"/>
    <w:basedOn w:val="Normal"/>
    <w:uiPriority w:val="3"/>
    <w:semiHidden/>
    <w:rsid w:val="00B3744D"/>
    <w:pPr>
      <w:numPr>
        <w:numId w:val="4"/>
      </w:numPr>
      <w:ind w:left="1361" w:hanging="340"/>
      <w:contextualSpacing/>
    </w:pPr>
  </w:style>
  <w:style w:type="paragraph" w:styleId="ListBullet5">
    <w:name w:val="List Bullet 5"/>
    <w:basedOn w:val="Normal"/>
    <w:uiPriority w:val="3"/>
    <w:semiHidden/>
    <w:unhideWhenUsed/>
    <w:rsid w:val="00B3744D"/>
    <w:pPr>
      <w:numPr>
        <w:numId w:val="5"/>
      </w:numPr>
      <w:ind w:left="1701" w:hanging="340"/>
      <w:contextualSpacing/>
    </w:pPr>
  </w:style>
  <w:style w:type="table" w:styleId="TableGrid">
    <w:name w:val="Table Grid"/>
    <w:basedOn w:val="TableNormal"/>
    <w:uiPriority w:val="39"/>
    <w:rsid w:val="004C4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table" w:styleId="PlainTable5">
    <w:name w:val="Plain Table 5"/>
    <w:basedOn w:val="TableNormal"/>
    <w:uiPriority w:val="45"/>
    <w:rsid w:val="00014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EFEFE" w:themeFill="background1"/>
      </w:tc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707FA1"/>
  </w:style>
  <w:style w:type="character" w:customStyle="1" w:styleId="PurpleText">
    <w:name w:val="Purple Text"/>
    <w:basedOn w:val="YellowText"/>
    <w:uiPriority w:val="4"/>
    <w:qFormat/>
    <w:rsid w:val="00BD2319"/>
    <w:rPr>
      <w:color w:val="82009B" w:themeColor="accent6"/>
    </w:rPr>
  </w:style>
  <w:style w:type="character" w:customStyle="1" w:styleId="MintText">
    <w:name w:val="Mint Text"/>
    <w:basedOn w:val="PurpleText"/>
    <w:uiPriority w:val="4"/>
    <w:qFormat/>
    <w:rsid w:val="00BD2319"/>
    <w:rPr>
      <w:color w:val="3CEB9D" w:themeColor="accent5"/>
    </w:rPr>
  </w:style>
  <w:style w:type="paragraph" w:styleId="FootnoteText">
    <w:name w:val="footnote text"/>
    <w:basedOn w:val="Normal"/>
    <w:link w:val="FootnoteTextChar"/>
    <w:uiPriority w:val="99"/>
    <w:unhideWhenUsed/>
    <w:rsid w:val="00251CE1"/>
    <w:pPr>
      <w:pBdr>
        <w:left w:val="double" w:sz="6" w:space="5" w:color="3CEB9D" w:themeColor="accent5"/>
      </w:pBdr>
      <w:spacing w:after="0" w:line="288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CE1"/>
    <w:rPr>
      <w:sz w:val="18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2319"/>
    <w:rPr>
      <w:vertAlign w:val="superscript"/>
    </w:rPr>
  </w:style>
  <w:style w:type="character" w:styleId="Hashtag">
    <w:name w:val="Hashtag"/>
    <w:basedOn w:val="DefaultParagraphFont"/>
    <w:uiPriority w:val="99"/>
    <w:semiHidden/>
    <w:unhideWhenUsed/>
    <w:rsid w:val="00A019FA"/>
    <w:rPr>
      <w:color w:val="82009B" w:themeColor="accent6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2"/>
    <w:rsid w:val="00707FA1"/>
    <w:rPr>
      <w:rFonts w:asciiTheme="majorHAnsi" w:eastAsiaTheme="majorEastAsia" w:hAnsiTheme="majorHAnsi" w:cstheme="majorBidi"/>
      <w:iCs/>
      <w:color w:val="ACAEAC" w:themeColor="accent2"/>
      <w:lang w:val="en-US"/>
    </w:rPr>
  </w:style>
  <w:style w:type="table" w:styleId="GridTable5Dark-Accent6">
    <w:name w:val="Grid Table 5 Dark Accent 6"/>
    <w:basedOn w:val="TableNormal"/>
    <w:uiPriority w:val="50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F3B8FF" w:themeFill="accent6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band1Vert">
      <w:tblPr/>
      <w:tcPr>
        <w:shd w:val="clear" w:color="auto" w:fill="E771FF" w:themeFill="accent6" w:themeFillTint="66"/>
      </w:tcPr>
    </w:tblStylePr>
    <w:tblStylePr w:type="band1Horz">
      <w:tblPr/>
      <w:tcPr>
        <w:shd w:val="clear" w:color="auto" w:fill="E771FF" w:themeFill="accent6" w:themeFillTint="66"/>
      </w:tcPr>
    </w:tblStylePr>
  </w:style>
  <w:style w:type="table" w:styleId="ListTable1Light-Accent3">
    <w:name w:val="List Table 1 Light Accent 3"/>
    <w:basedOn w:val="TableNormal"/>
    <w:uiPriority w:val="46"/>
    <w:rsid w:val="00C21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1E0C"/>
    <w:pPr>
      <w:spacing w:after="0" w:line="240" w:lineRule="auto"/>
    </w:pPr>
    <w:rPr>
      <w:color w:val="ACACA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bottom w:val="single" w:sz="4" w:space="0" w:color="E6E6E6" w:themeColor="accent3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3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3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3"/>
        </w:tcBorders>
        <w:shd w:val="clear" w:color="auto" w:fill="FEFEFE" w:themeFill="background1"/>
      </w:tc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21E0C"/>
    <w:pPr>
      <w:spacing w:after="0" w:line="240" w:lineRule="auto"/>
    </w:pPr>
    <w:rPr>
      <w:color w:val="D5ED01" w:themeColor="accent4" w:themeShade="BF"/>
    </w:rPr>
    <w:tblPr>
      <w:tblStyleRowBandSize w:val="1"/>
      <w:tblStyleColBandSize w:val="1"/>
      <w:tblBorders>
        <w:top w:val="single" w:sz="4" w:space="0" w:color="F2FE8C" w:themeColor="accent4" w:themeTint="99"/>
        <w:left w:val="single" w:sz="4" w:space="0" w:color="F2FE8C" w:themeColor="accent4" w:themeTint="99"/>
        <w:bottom w:val="single" w:sz="4" w:space="0" w:color="F2FE8C" w:themeColor="accent4" w:themeTint="99"/>
        <w:right w:val="single" w:sz="4" w:space="0" w:color="F2FE8C" w:themeColor="accent4" w:themeTint="99"/>
        <w:insideH w:val="single" w:sz="4" w:space="0" w:color="F2FE8C" w:themeColor="accent4" w:themeTint="99"/>
        <w:insideV w:val="single" w:sz="4" w:space="0" w:color="F2F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FAFED8" w:themeFill="accent4" w:themeFillTint="33"/>
      </w:tcPr>
    </w:tblStylePr>
    <w:tblStylePr w:type="band1Horz">
      <w:tblPr/>
      <w:tcPr>
        <w:shd w:val="clear" w:color="auto" w:fill="FAFED8" w:themeFill="accent4" w:themeFillTint="33"/>
      </w:tcPr>
    </w:tblStylePr>
    <w:tblStylePr w:type="neCell">
      <w:tblPr/>
      <w:tcPr>
        <w:tcBorders>
          <w:bottom w:val="single" w:sz="4" w:space="0" w:color="F2FE8C" w:themeColor="accent4" w:themeTint="99"/>
        </w:tcBorders>
      </w:tcPr>
    </w:tblStylePr>
    <w:tblStylePr w:type="nwCell">
      <w:tblPr/>
      <w:tcPr>
        <w:tcBorders>
          <w:bottom w:val="single" w:sz="4" w:space="0" w:color="F2FE8C" w:themeColor="accent4" w:themeTint="99"/>
        </w:tcBorders>
      </w:tcPr>
    </w:tblStylePr>
    <w:tblStylePr w:type="seCell">
      <w:tblPr/>
      <w:tcPr>
        <w:tcBorders>
          <w:top w:val="single" w:sz="4" w:space="0" w:color="F2FE8C" w:themeColor="accent4" w:themeTint="99"/>
        </w:tcBorders>
      </w:tcPr>
    </w:tblStylePr>
    <w:tblStylePr w:type="swCell">
      <w:tblPr/>
      <w:tcPr>
        <w:tcBorders>
          <w:top w:val="single" w:sz="4" w:space="0" w:color="F2FE8C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C21E0C"/>
    <w:pPr>
      <w:spacing w:after="0" w:line="240" w:lineRule="auto"/>
    </w:pPr>
    <w:rPr>
      <w:color w:val="232323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ECD" w:themeColor="accent2" w:themeTint="99"/>
        </w:tcBorders>
      </w:tcPr>
    </w:tblStylePr>
    <w:tblStylePr w:type="nwCell">
      <w:tblPr/>
      <w:tcPr>
        <w:tcBorders>
          <w:bottom w:val="single" w:sz="4" w:space="0" w:color="CDCECD" w:themeColor="accent2" w:themeTint="99"/>
        </w:tcBorders>
      </w:tcPr>
    </w:tblStylePr>
    <w:tblStylePr w:type="seCell">
      <w:tblPr/>
      <w:tcPr>
        <w:tcBorders>
          <w:top w:val="single" w:sz="4" w:space="0" w:color="CDCECD" w:themeColor="accent2" w:themeTint="99"/>
        </w:tcBorders>
      </w:tcPr>
    </w:tblStylePr>
    <w:tblStylePr w:type="swCell">
      <w:tblPr/>
      <w:tcPr>
        <w:tcBorders>
          <w:top w:val="single" w:sz="4" w:space="0" w:color="CDCECD" w:themeColor="accent2" w:themeTint="99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EAC" w:themeColor="accent2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EAC" w:themeColor="accent2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EAC" w:themeColor="accent2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EAC" w:themeColor="accent2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ListTable3-Accent1">
    <w:name w:val="List Table 3 Accent 1"/>
    <w:basedOn w:val="TableNormal"/>
    <w:uiPriority w:val="48"/>
    <w:rsid w:val="004C47BD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accent1"/>
        <w:left w:val="single" w:sz="4" w:space="0" w:color="232323" w:themeColor="accent1"/>
        <w:bottom w:val="single" w:sz="4" w:space="0" w:color="232323" w:themeColor="accent1"/>
        <w:right w:val="single" w:sz="4" w:space="0" w:color="232323" w:themeColor="accent1"/>
      </w:tblBorders>
      <w:tblCellMar>
        <w:top w:w="57" w:type="dxa"/>
        <w:bottom w:w="57" w:type="dxa"/>
      </w:tblCellMar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accent1"/>
          <w:right w:val="single" w:sz="4" w:space="0" w:color="232323" w:themeColor="accent1"/>
        </w:tcBorders>
      </w:tcPr>
    </w:tblStylePr>
    <w:tblStylePr w:type="band1Horz">
      <w:tblPr/>
      <w:tcPr>
        <w:tcBorders>
          <w:top w:val="single" w:sz="4" w:space="0" w:color="232323" w:themeColor="accent1"/>
          <w:bottom w:val="single" w:sz="4" w:space="0" w:color="2323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accent1"/>
          <w:left w:val="nil"/>
        </w:tcBorders>
      </w:tcPr>
    </w:tblStylePr>
    <w:tblStylePr w:type="swCell">
      <w:tblPr/>
      <w:tcPr>
        <w:tcBorders>
          <w:top w:val="double" w:sz="4" w:space="0" w:color="23232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64653"/>
    <w:pPr>
      <w:spacing w:after="0" w:line="240" w:lineRule="auto"/>
    </w:pPr>
    <w:tblPr>
      <w:tblStyleRowBandSize w:val="1"/>
      <w:tblStyleColBandSize w:val="1"/>
      <w:tblBorders>
        <w:top w:val="single" w:sz="4" w:space="0" w:color="3CEB9D" w:themeColor="accent5"/>
        <w:left w:val="single" w:sz="4" w:space="0" w:color="3CEB9D" w:themeColor="accent5"/>
        <w:bottom w:val="single" w:sz="4" w:space="0" w:color="3CEB9D" w:themeColor="accent5"/>
        <w:right w:val="single" w:sz="4" w:space="0" w:color="3CEB9D" w:themeColor="accent5"/>
        <w:insideH w:val="single" w:sz="4" w:space="0" w:color="3CEB9D" w:themeColor="accent5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single" w:sz="4" w:space="0" w:color="3CEB9D" w:themeColor="accent5"/>
          <w:insideH w:val="nil"/>
          <w:insideV w:val="nil"/>
          <w:tl2br w:val="nil"/>
          <w:tr2bl w:val="nil"/>
        </w:tcBorders>
        <w:shd w:val="clear" w:color="auto" w:fill="3CEB9D" w:themeFill="accent5"/>
      </w:tcPr>
    </w:tblStylePr>
    <w:tblStylePr w:type="lastRow">
      <w:rPr>
        <w:b/>
        <w:bCs/>
      </w:rPr>
      <w:tblPr/>
      <w:tcPr>
        <w:tcBorders>
          <w:top w:val="single" w:sz="4" w:space="0" w:color="3CEB9D" w:themeColor="accent5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nil"/>
          <w:insideH w:val="single" w:sz="4" w:space="0" w:color="3CEB9D" w:themeColor="accent5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3CEB9D" w:themeColor="accent5"/>
          <w:right w:val="single" w:sz="4" w:space="0" w:color="3CEB9D" w:themeColor="accent5"/>
        </w:tcBorders>
      </w:tcPr>
    </w:tblStylePr>
    <w:tblStylePr w:type="band1Horz">
      <w:tblPr/>
      <w:tcPr>
        <w:tcBorders>
          <w:top w:val="single" w:sz="4" w:space="0" w:color="3CEB9D" w:themeColor="accent5"/>
          <w:bottom w:val="single" w:sz="4" w:space="0" w:color="3CEB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EB9D" w:themeColor="accent5"/>
          <w:left w:val="nil"/>
        </w:tcBorders>
      </w:tcPr>
    </w:tblStylePr>
    <w:tblStylePr w:type="swCell">
      <w:tblPr/>
      <w:tcPr>
        <w:tcBorders>
          <w:top w:val="double" w:sz="4" w:space="0" w:color="3CEB9D" w:themeColor="accent5"/>
          <w:right w:val="nil"/>
        </w:tcBorders>
      </w:tcPr>
    </w:tblStylePr>
  </w:style>
  <w:style w:type="paragraph" w:customStyle="1" w:styleId="CoverTitle">
    <w:name w:val="Cover Title"/>
    <w:basedOn w:val="Title"/>
    <w:uiPriority w:val="24"/>
    <w:unhideWhenUsed/>
    <w:qFormat/>
    <w:rsid w:val="001E0CF3"/>
    <w:pPr>
      <w:spacing w:after="240"/>
      <w:jc w:val="right"/>
    </w:pPr>
    <w:rPr>
      <w:sz w:val="80"/>
    </w:rPr>
  </w:style>
  <w:style w:type="paragraph" w:customStyle="1" w:styleId="CoverSubject">
    <w:name w:val="Cover Subject"/>
    <w:basedOn w:val="CoverTitle"/>
    <w:uiPriority w:val="24"/>
    <w:unhideWhenUsed/>
    <w:qFormat/>
    <w:rsid w:val="001E0CF3"/>
    <w:pPr>
      <w:spacing w:after="360"/>
    </w:pPr>
    <w:rPr>
      <w:b w:val="0"/>
      <w:bCs/>
      <w:color w:val="ACAEAC" w:themeColor="accent2"/>
    </w:rPr>
  </w:style>
  <w:style w:type="paragraph" w:customStyle="1" w:styleId="CoverText">
    <w:name w:val="Cover Text"/>
    <w:basedOn w:val="Normal"/>
    <w:uiPriority w:val="24"/>
    <w:unhideWhenUsed/>
    <w:qFormat/>
    <w:rsid w:val="003333FD"/>
    <w:pPr>
      <w:spacing w:before="240" w:after="120"/>
      <w:contextualSpacing/>
      <w:jc w:val="right"/>
      <w:textDirection w:val="btLr"/>
    </w:pPr>
    <w:rPr>
      <w:rFonts w:cs="Calibri"/>
      <w:color w:val="232323"/>
      <w:sz w:val="24"/>
    </w:rPr>
  </w:style>
  <w:style w:type="character" w:customStyle="1" w:styleId="GreyText">
    <w:name w:val="Grey Text"/>
    <w:basedOn w:val="PurpleText"/>
    <w:uiPriority w:val="4"/>
    <w:qFormat/>
    <w:rsid w:val="00662A47"/>
    <w:rPr>
      <w:color w:val="ACAEAC" w:themeColor="accent2"/>
    </w:rPr>
  </w:style>
  <w:style w:type="paragraph" w:customStyle="1" w:styleId="Disclaimer">
    <w:name w:val="Disclaimer"/>
    <w:basedOn w:val="Normal"/>
    <w:uiPriority w:val="25"/>
    <w:semiHidden/>
    <w:qFormat/>
    <w:rsid w:val="00CC16BE"/>
    <w:pPr>
      <w:pBdr>
        <w:top w:val="single" w:sz="8" w:space="20" w:color="3CEB9D" w:themeColor="accent5"/>
        <w:bottom w:val="dotted" w:sz="2" w:space="8" w:color="E6E6E6" w:themeColor="accent3"/>
      </w:pBdr>
      <w:spacing w:before="40" w:after="40" w:line="240" w:lineRule="auto"/>
    </w:pPr>
    <w:rPr>
      <w:rFonts w:asciiTheme="majorHAnsi" w:hAnsiTheme="majorHAnsi"/>
      <w:color w:val="ACAEAC" w:themeColor="accent2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707FA1"/>
    <w:rPr>
      <w:rFonts w:asciiTheme="majorHAnsi" w:eastAsiaTheme="majorEastAsia" w:hAnsiTheme="majorHAnsi" w:cstheme="majorBidi"/>
      <w:color w:val="E6E6E6" w:themeColor="accent3"/>
      <w:sz w:val="21"/>
      <w:szCs w:val="21"/>
      <w:lang w:val="en-US"/>
    </w:rPr>
  </w:style>
  <w:style w:type="paragraph" w:customStyle="1" w:styleId="TableTitle">
    <w:name w:val="Table Title"/>
    <w:basedOn w:val="TableofFigures"/>
    <w:next w:val="Normal"/>
    <w:uiPriority w:val="3"/>
    <w:qFormat/>
    <w:rsid w:val="00920C33"/>
    <w:pPr>
      <w:numPr>
        <w:numId w:val="8"/>
      </w:numPr>
      <w:pBdr>
        <w:left w:val="single" w:sz="4" w:space="5" w:color="82009B" w:themeColor="accent6"/>
      </w:pBdr>
      <w:spacing w:before="160"/>
      <w:ind w:left="340" w:hanging="340"/>
    </w:pPr>
    <w:rPr>
      <w:noProof/>
      <w:color w:val="82009B" w:themeColor="accent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D655F"/>
    <w:pPr>
      <w:spacing w:after="0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C0669"/>
    <w:pPr>
      <w:pBdr>
        <w:top w:val="single" w:sz="4" w:space="10" w:color="232323" w:themeColor="accent1"/>
        <w:bottom w:val="single" w:sz="4" w:space="10" w:color="232323" w:themeColor="accent1"/>
      </w:pBdr>
      <w:spacing w:before="360" w:after="360"/>
      <w:ind w:left="864" w:right="864"/>
      <w:jc w:val="center"/>
    </w:pPr>
    <w:rPr>
      <w:i/>
      <w:iCs/>
      <w:color w:val="232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7FA1"/>
    <w:rPr>
      <w:i/>
      <w:iCs/>
      <w:color w:val="232323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C0669"/>
    <w:pPr>
      <w:spacing w:before="200"/>
      <w:ind w:left="864" w:right="864"/>
      <w:jc w:val="center"/>
    </w:pPr>
    <w:rPr>
      <w:i/>
      <w:iCs/>
      <w:color w:val="5A5A5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7FA1"/>
    <w:rPr>
      <w:i/>
      <w:iCs/>
      <w:color w:val="5A5A5A" w:themeColor="text1" w:themeTint="BF"/>
      <w:lang w:val="en-US"/>
    </w:rPr>
  </w:style>
  <w:style w:type="paragraph" w:customStyle="1" w:styleId="NumberedDarkBlock">
    <w:name w:val="Numbered Dark Block"/>
    <w:basedOn w:val="SectionHeader"/>
    <w:uiPriority w:val="14"/>
    <w:qFormat/>
    <w:rsid w:val="00DD7BC4"/>
    <w:pPr>
      <w:pBdr>
        <w:top w:val="single" w:sz="48" w:space="31" w:color="232323" w:themeColor="text1"/>
        <w:left w:val="single" w:sz="48" w:space="31" w:color="232323" w:themeColor="text1"/>
        <w:bottom w:val="single" w:sz="48" w:space="31" w:color="232323" w:themeColor="text1"/>
        <w:right w:val="single" w:sz="48" w:space="31" w:color="232323" w:themeColor="text1"/>
      </w:pBdr>
      <w:shd w:val="clear" w:color="auto" w:fill="232323" w:themeFill="text1"/>
      <w:spacing w:before="120" w:line="276" w:lineRule="auto"/>
      <w:ind w:left="-68" w:right="-68"/>
    </w:pPr>
    <w:rPr>
      <w:color w:val="auto"/>
      <w:sz w:val="56"/>
    </w:rPr>
  </w:style>
  <w:style w:type="table" w:styleId="ListTable3-Accent4">
    <w:name w:val="List Table 3 Accent 4"/>
    <w:basedOn w:val="TableNormal"/>
    <w:uiPriority w:val="48"/>
    <w:rsid w:val="0046767C"/>
    <w:pPr>
      <w:spacing w:after="0" w:line="240" w:lineRule="auto"/>
    </w:pPr>
    <w:tblPr>
      <w:tblStyleRowBandSize w:val="1"/>
      <w:tblStyleColBandSize w:val="1"/>
      <w:tblBorders>
        <w:top w:val="single" w:sz="4" w:space="0" w:color="EBFE41" w:themeColor="accent4"/>
        <w:left w:val="single" w:sz="4" w:space="0" w:color="EBFE41" w:themeColor="accent4"/>
        <w:bottom w:val="single" w:sz="4" w:space="0" w:color="EBFE41" w:themeColor="accent4"/>
        <w:right w:val="single" w:sz="4" w:space="0" w:color="EBFE41" w:themeColor="accent4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EBFE41" w:themeFill="accent4"/>
      </w:tcPr>
    </w:tblStylePr>
    <w:tblStylePr w:type="lastRow">
      <w:rPr>
        <w:b/>
        <w:bCs/>
      </w:rPr>
      <w:tblPr/>
      <w:tcPr>
        <w:tcBorders>
          <w:top w:val="double" w:sz="4" w:space="0" w:color="EBFE41" w:themeColor="accent4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EBFE41" w:themeColor="accent4"/>
          <w:right w:val="single" w:sz="4" w:space="0" w:color="EBFE41" w:themeColor="accent4"/>
        </w:tcBorders>
      </w:tcPr>
    </w:tblStylePr>
    <w:tblStylePr w:type="band1Horz">
      <w:tblPr/>
      <w:tcPr>
        <w:tcBorders>
          <w:top w:val="single" w:sz="4" w:space="0" w:color="EBFE41" w:themeColor="accent4"/>
          <w:bottom w:val="single" w:sz="4" w:space="0" w:color="EBFE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FE41" w:themeColor="accent4"/>
          <w:left w:val="nil"/>
        </w:tcBorders>
      </w:tcPr>
    </w:tblStylePr>
    <w:tblStylePr w:type="swCell">
      <w:tblPr/>
      <w:tcPr>
        <w:tcBorders>
          <w:top w:val="double" w:sz="4" w:space="0" w:color="EBFE41" w:themeColor="accent4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  <w:insideV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">
    <w:name w:val="Grid Table 4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3">
    <w:name w:val="Grid Table 3"/>
    <w:basedOn w:val="TableNormal"/>
    <w:uiPriority w:val="48"/>
    <w:rsid w:val="009610F4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b/>
        <w:i w:val="0"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rPr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  <w:tl2br w:val="nil"/>
          <w:tr2bl w:val="nil"/>
        </w:tcBorders>
        <w:shd w:val="clear" w:color="auto" w:fill="232323" w:themeFill="text1"/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ListTable3">
    <w:name w:val="List Table 3"/>
    <w:basedOn w:val="TableNormal"/>
    <w:uiPriority w:val="48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text1"/>
        <w:left w:val="single" w:sz="4" w:space="0" w:color="232323" w:themeColor="text1"/>
        <w:bottom w:val="single" w:sz="4" w:space="0" w:color="232323" w:themeColor="text1"/>
        <w:right w:val="single" w:sz="4" w:space="0" w:color="232323" w:themeColor="text1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text1"/>
          <w:right w:val="single" w:sz="4" w:space="0" w:color="232323" w:themeColor="text1"/>
        </w:tcBorders>
      </w:tcPr>
    </w:tblStylePr>
    <w:tblStylePr w:type="band1Horz">
      <w:tblPr/>
      <w:tcPr>
        <w:tcBorders>
          <w:top w:val="single" w:sz="4" w:space="0" w:color="232323" w:themeColor="text1"/>
          <w:bottom w:val="single" w:sz="4" w:space="0" w:color="23232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text1"/>
          <w:left w:val="nil"/>
        </w:tcBorders>
      </w:tcPr>
    </w:tblStylePr>
    <w:tblStylePr w:type="swCell">
      <w:tblPr/>
      <w:tcPr>
        <w:tcBorders>
          <w:top w:val="double" w:sz="4" w:space="0" w:color="232323" w:themeColor="text1"/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F1771B"/>
    <w:pPr>
      <w:spacing w:after="0" w:line="240" w:lineRule="auto"/>
    </w:pPr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44D3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7B7B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paragraph" w:styleId="ListParagraph">
    <w:name w:val="List Paragraph"/>
    <w:basedOn w:val="Normal"/>
    <w:uiPriority w:val="34"/>
    <w:semiHidden/>
    <w:qFormat/>
    <w:rsid w:val="001555D2"/>
    <w:pPr>
      <w:ind w:left="720"/>
      <w:contextualSpacing/>
    </w:pPr>
  </w:style>
  <w:style w:type="table" w:customStyle="1" w:styleId="CivittaTable2DarkGrey">
    <w:name w:val="Civitta Table 2 Dark Grey"/>
    <w:basedOn w:val="GridTable5Dark-Accent1"/>
    <w:uiPriority w:val="99"/>
    <w:rsid w:val="00BC03FA"/>
    <w:tblPr>
      <w:tblCellMar>
        <w:top w:w="85" w:type="dxa"/>
        <w:bottom w:w="85" w:type="dxa"/>
      </w:tblCellMar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</w:style>
  <w:style w:type="table" w:customStyle="1" w:styleId="CivittaTable2Green">
    <w:name w:val="Civitta Table 2 Green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B1F7D7" w:themeFill="accent5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3CEB9D" w:themeFill="accent5"/>
      </w:tcPr>
    </w:tblStylePr>
  </w:style>
  <w:style w:type="table" w:styleId="GridTable5Dark-Accent1">
    <w:name w:val="Grid Table 5 Dark Accent 1"/>
    <w:basedOn w:val="TableNormal"/>
    <w:uiPriority w:val="50"/>
    <w:rsid w:val="00974A63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A7A7A7" w:themeFill="accent1" w:themeFillTint="66"/>
      </w:tcPr>
    </w:tblStylePr>
  </w:style>
  <w:style w:type="table" w:customStyle="1" w:styleId="CivittaTable2Purple">
    <w:name w:val="Civitta Table 2 Purple"/>
    <w:basedOn w:val="CivittaTable2DarkGrey"/>
    <w:uiPriority w:val="99"/>
    <w:rsid w:val="00BC03FA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771FF" w:themeFill="accent6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82009B" w:themeFill="accent6"/>
      </w:tcPr>
    </w:tblStylePr>
  </w:style>
  <w:style w:type="table" w:customStyle="1" w:styleId="Style1">
    <w:name w:val="Style1"/>
    <w:basedOn w:val="CivittaTable2DarkGrey"/>
    <w:uiPriority w:val="99"/>
    <w:rsid w:val="00CC776E"/>
    <w:tblPr/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auto"/>
      </w:rPr>
      <w:tblPr/>
      <w:tcPr>
        <w:tcBorders>
          <w:top w:val="single" w:sz="12" w:space="0" w:color="82009B" w:themeColor="accent6"/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C7C7C7" w:themeFill="accent1" w:themeFillTint="40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EEEEEE" w:themeFill="accent2" w:themeFillTint="33"/>
      </w:tcPr>
    </w:tblStylePr>
    <w:tblStylePr w:type="nwCell">
      <w:tblPr/>
      <w:tcPr>
        <w:shd w:val="clear" w:color="auto" w:fill="232323" w:themeFill="text2"/>
      </w:tcPr>
    </w:tblStylePr>
    <w:tblStylePr w:type="swCell">
      <w:tblPr/>
      <w:tcPr>
        <w:tcBorders>
          <w:top w:val="single" w:sz="4" w:space="0" w:color="E8E8E8" w:themeColor="text1" w:themeTint="1A"/>
          <w:left w:val="single" w:sz="4" w:space="0" w:color="E8E8E8" w:themeColor="text1" w:themeTint="1A"/>
          <w:bottom w:val="single" w:sz="4" w:space="0" w:color="E8E8E8" w:themeColor="text1" w:themeTint="1A"/>
          <w:right w:val="single" w:sz="4" w:space="0" w:color="E8E8E8" w:themeColor="text1" w:themeTint="1A"/>
          <w:insideH w:val="single" w:sz="4" w:space="0" w:color="E8E8E8" w:themeColor="text1" w:themeTint="1A"/>
          <w:insideV w:val="single" w:sz="4" w:space="0" w:color="E8E8E8" w:themeColor="text1" w:themeTint="1A"/>
        </w:tcBorders>
        <w:shd w:val="clear" w:color="auto" w:fill="D3D3D3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paragraph" w:customStyle="1" w:styleId="DarkBlockwoTOC">
    <w:name w:val="Dark Block w/o TOC"/>
    <w:basedOn w:val="DarkBlock"/>
    <w:link w:val="DarkBlockwoTOCChar"/>
    <w:uiPriority w:val="14"/>
    <w:qFormat/>
    <w:rsid w:val="00D653D2"/>
  </w:style>
  <w:style w:type="character" w:customStyle="1" w:styleId="DarkBlockChar">
    <w:name w:val="Dark Block Char"/>
    <w:basedOn w:val="DefaultParagraphFont"/>
    <w:link w:val="DarkBlock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character" w:customStyle="1" w:styleId="DarkBlockwoTOCChar">
    <w:name w:val="Dark Block w/o TOC Char"/>
    <w:basedOn w:val="DarkBlockChar"/>
    <w:link w:val="DarkBlockwoTOC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table" w:styleId="ListTable3-Accent6">
    <w:name w:val="List Table 3 Accent 6"/>
    <w:basedOn w:val="TableNormal"/>
    <w:uiPriority w:val="48"/>
    <w:rsid w:val="00F26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EFEFE" w:themeColor="background1"/>
      </w:rPr>
      <w:tblPr/>
      <w:tcPr>
        <w:shd w:val="clear" w:color="auto" w:fill="82009B" w:themeFill="accent6"/>
      </w:tcPr>
    </w:tblStylePr>
    <w:tblStylePr w:type="lastRow">
      <w:rPr>
        <w:b/>
        <w:bCs/>
      </w:rPr>
      <w:tblPr/>
      <w:tcPr>
        <w:tcBorders>
          <w:top w:val="single" w:sz="12" w:space="0" w:color="82009B" w:themeColor="accent6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nil"/>
          <w:bottom w:val="nil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09B" w:themeColor="accent6"/>
          <w:left w:val="nil"/>
        </w:tcBorders>
      </w:tcPr>
    </w:tblStylePr>
    <w:tblStylePr w:type="swCell">
      <w:tblPr/>
      <w:tcPr>
        <w:tcBorders>
          <w:top w:val="single" w:sz="1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ectionHeaderChar">
    <w:name w:val="Section Header Char"/>
    <w:basedOn w:val="Heading1Char"/>
    <w:link w:val="SectionHeader"/>
    <w:uiPriority w:val="13"/>
    <w:rsid w:val="00EB03C4"/>
    <w:rPr>
      <w:rFonts w:asciiTheme="majorHAnsi" w:eastAsiaTheme="majorEastAsia" w:hAnsiTheme="majorHAnsi" w:cstheme="majorBidi"/>
      <w:color w:val="1A1A1A" w:themeColor="accent1" w:themeShade="BF"/>
      <w:sz w:val="72"/>
      <w:szCs w:val="32"/>
      <w:lang w:val="en-US"/>
    </w:rPr>
  </w:style>
  <w:style w:type="character" w:customStyle="1" w:styleId="ApplySectionHeaderForHeader">
    <w:name w:val="Apply Section Header For Header"/>
    <w:basedOn w:val="DefaultParagraphFont"/>
    <w:uiPriority w:val="1"/>
    <w:qFormat/>
    <w:rsid w:val="00C31AFB"/>
  </w:style>
  <w:style w:type="paragraph" w:customStyle="1" w:styleId="GraphTitle">
    <w:name w:val="Graph Title"/>
    <w:basedOn w:val="TableTitle"/>
    <w:next w:val="Normal"/>
    <w:uiPriority w:val="4"/>
    <w:qFormat/>
    <w:rsid w:val="00461B55"/>
    <w:pPr>
      <w:numPr>
        <w:numId w:val="15"/>
      </w:numPr>
      <w:ind w:left="357" w:hanging="357"/>
    </w:pPr>
  </w:style>
  <w:style w:type="table" w:styleId="PlainTable1">
    <w:name w:val="Plain Table 1"/>
    <w:basedOn w:val="TableNormal"/>
    <w:uiPriority w:val="41"/>
    <w:rsid w:val="009A1904"/>
    <w:pPr>
      <w:spacing w:after="0" w:line="240" w:lineRule="auto"/>
    </w:pPr>
    <w:tblPr>
      <w:tblStyleRowBandSize w:val="1"/>
      <w:tblStyleColBandSize w:val="1"/>
      <w:tblBorders>
        <w:top w:val="single" w:sz="4" w:space="0" w:color="BEBEBE" w:themeColor="background1" w:themeShade="BF"/>
        <w:left w:val="single" w:sz="4" w:space="0" w:color="BEBEBE" w:themeColor="background1" w:themeShade="BF"/>
        <w:bottom w:val="single" w:sz="4" w:space="0" w:color="BEBEBE" w:themeColor="background1" w:themeShade="BF"/>
        <w:right w:val="single" w:sz="4" w:space="0" w:color="BEBEBE" w:themeColor="background1" w:themeShade="BF"/>
        <w:insideH w:val="single" w:sz="4" w:space="0" w:color="BEBEBE" w:themeColor="background1" w:themeShade="BF"/>
        <w:insideV w:val="single" w:sz="4" w:space="0" w:color="BEBEBE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</w:style>
  <w:style w:type="paragraph" w:styleId="Revision">
    <w:name w:val="Revision"/>
    <w:hidden/>
    <w:uiPriority w:val="99"/>
    <w:semiHidden/>
    <w:rsid w:val="00B62FC5"/>
    <w:pPr>
      <w:spacing w:after="0" w:line="240" w:lineRule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F43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F90"/>
    <w:rPr>
      <w:color w:val="82009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8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5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6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41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0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3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5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3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0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67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88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4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6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ecd.org/content/dam/oecd/en/publications/reports/2009/09/regulatory-impact-analysis_g1ghb202/9789264067110-en.pdf" TargetMode="External"/><Relationship Id="rId18" Type="http://schemas.openxmlformats.org/officeDocument/2006/relationships/hyperlink" Target="https://www.saeima.lv/petijumi/Kadi_faktori_kave_efektivu_tiesibu_aktu_un_ricibpolitiku_ex_post_izvertesanu_LV.pdf" TargetMode="External"/><Relationship Id="rId26" Type="http://schemas.openxmlformats.org/officeDocument/2006/relationships/hyperlink" Target="https://www.oecd.org/en/publications/regulatory-policy-in-perspective_9789264241800-en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ikumi.lv/ta/id/341706" TargetMode="External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students.aiu.edu/submissions/profiles/resources/onlineBook/E5V5H3_Cost-benefit%20analysis%20_%202018.pdf" TargetMode="External"/><Relationship Id="rId17" Type="http://schemas.openxmlformats.org/officeDocument/2006/relationships/hyperlink" Target="https://assets.publishing.service.gov.uk/media/5e96cab9d3bf7f412b2264b1/HMT_Magenta_Book.pdf" TargetMode="External"/><Relationship Id="rId25" Type="http://schemas.openxmlformats.org/officeDocument/2006/relationships/hyperlink" Target="https://www.oecd.org/content/dam/oecd/en/publications/reports/2012/05/evaluating-laws-and-regulations_g1g1d0e4/9789264176263-en.pdf" TargetMode="External"/><Relationship Id="rId33" Type="http://schemas.openxmlformats.org/officeDocument/2006/relationships/hyperlink" Target="https://www.mk.gov.lv/sites/mk/files/media_file/tap_anotacija_vadlinijas.pdf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etterevaluation.org/methods-approaches" TargetMode="External"/><Relationship Id="rId20" Type="http://schemas.openxmlformats.org/officeDocument/2006/relationships/hyperlink" Target="https://likumi.lv/ta/id/325944" TargetMode="External"/><Relationship Id="rId29" Type="http://schemas.openxmlformats.org/officeDocument/2006/relationships/hyperlink" Target="https://legalinstruments.oecd.org/en/instruments/OECD-LEGAL-039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oecd.org/en/publications/2012/11/recommendation-of-the-council-on-regulatory-policy-and-governance_g1g3fce5.html" TargetMode="External"/><Relationship Id="rId32" Type="http://schemas.openxmlformats.org/officeDocument/2006/relationships/hyperlink" Target="https://julkaisut.valtioneuvosto.fi/handle/10024/164973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ca.org.uk/publication/corporate/ex-post-impact-evaluation-framework.pdf" TargetMode="External"/><Relationship Id="rId23" Type="http://schemas.openxmlformats.org/officeDocument/2006/relationships/hyperlink" Target="https://www.oecd.org/en/publications/2010/02/quality-standards-for-development-evaluation_g1ghc6e7.html" TargetMode="External"/><Relationship Id="rId28" Type="http://schemas.openxmlformats.org/officeDocument/2006/relationships/hyperlink" Target="https://www.oecd.org/en/publications/better-regulation-practices-across-the-european-union-2022_6e4b095d-en/full-report.html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s://likumi.lv/ta/id/325945" TargetMode="External"/><Relationship Id="rId31" Type="http://schemas.openxmlformats.org/officeDocument/2006/relationships/hyperlink" Target="https://www.mk.gov.lv/lv/media/520/downloa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ommission.europa.eu/law/law-making-process/better-regulation/better-regulation-guidelines-and-toolbox_en" TargetMode="External"/><Relationship Id="rId22" Type="http://schemas.openxmlformats.org/officeDocument/2006/relationships/hyperlink" Target="https://onlinelibrary.wiley.com/doi/book/10.1002/9781119171386" TargetMode="External"/><Relationship Id="rId27" Type="http://schemas.openxmlformats.org/officeDocument/2006/relationships/hyperlink" Target="https://www.oecd.org/en/publications/2020/02/regulatory-impact-assessment_0bf78a03.html" TargetMode="External"/><Relationship Id="rId30" Type="http://schemas.openxmlformats.org/officeDocument/2006/relationships/hyperlink" Target="https://www.researchgate.net/publication/319852576_Strengths_and_Limitations_of_Qualitative_and_Quantitative_Research_Methods" TargetMode="External"/><Relationship Id="rId35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ns%20disks\01_templates_2024\Word\Civitta%20Word%20One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ivitta">
      <a:dk1>
        <a:srgbClr val="232323"/>
      </a:dk1>
      <a:lt1>
        <a:srgbClr val="FEFEFE"/>
      </a:lt1>
      <a:dk2>
        <a:srgbClr val="232323"/>
      </a:dk2>
      <a:lt2>
        <a:srgbClr val="FEFEFE"/>
      </a:lt2>
      <a:accent1>
        <a:srgbClr val="232323"/>
      </a:accent1>
      <a:accent2>
        <a:srgbClr val="ACAEAC"/>
      </a:accent2>
      <a:accent3>
        <a:srgbClr val="E6E6E6"/>
      </a:accent3>
      <a:accent4>
        <a:srgbClr val="EBFE41"/>
      </a:accent4>
      <a:accent5>
        <a:srgbClr val="3CEB9D"/>
      </a:accent5>
      <a:accent6>
        <a:srgbClr val="82009B"/>
      </a:accent6>
      <a:hlink>
        <a:srgbClr val="82009B"/>
      </a:hlink>
      <a:folHlink>
        <a:srgbClr val="82009B"/>
      </a:folHlink>
    </a:clrScheme>
    <a:fontScheme name="Civitta Arial">
      <a:majorFont>
        <a:latin typeface="Arial Bold"/>
        <a:ea typeface=""/>
        <a:cs typeface="Arial Bold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2024-05-10T00:00:00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36ACD9C704BFDB43AB1FD13C464DBE95" ma:contentTypeVersion="15" ma:contentTypeDescription="Izveidot jaunu dokumentu." ma:contentTypeScope="" ma:versionID="4a4ace6af83c23f5ca48de06d12aeeb2">
  <xsd:schema xmlns:xsd="http://www.w3.org/2001/XMLSchema" xmlns:xs="http://www.w3.org/2001/XMLSchema" xmlns:p="http://schemas.microsoft.com/office/2006/metadata/properties" xmlns:ns2="901c9f71-8e3b-46a5-af80-6338f783ef2d" xmlns:ns3="5eea2664-1934-46d1-8c8d-a6d2e508accd" targetNamespace="http://schemas.microsoft.com/office/2006/metadata/properties" ma:root="true" ma:fieldsID="042c691cf0ff4bc64995a5545832e41d" ns2:_="" ns3:_="">
    <xsd:import namespace="901c9f71-8e3b-46a5-af80-6338f783ef2d"/>
    <xsd:import namespace="5eea2664-1934-46d1-8c8d-a6d2e508ac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c9f71-8e3b-46a5-af80-6338f783e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a2664-1934-46d1-8c8d-a6d2e508ac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D2C36B-49AE-45DF-8646-C6D9CD046B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A34412-9DA2-494E-84B3-0D9D03AE67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612AB1-FC30-4FF5-962E-920EA7EAD24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8D8A3C4-B151-402B-A938-0312FFAF3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c9f71-8e3b-46a5-af80-6338f783ef2d"/>
    <ds:schemaRef ds:uri="5eea2664-1934-46d1-8c8d-a6d2e508ac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9e176a8-1567-403a-861e-2ddcf9359962}" enabled="0" method="" siteId="{c9e176a8-1567-403a-861e-2ddcf935996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Civitta Word One Sheet Template.dotx</Template>
  <TotalTime>0</TotalTime>
  <Pages>3</Pages>
  <Words>5585</Words>
  <Characters>3185</Characters>
  <Application>Microsoft Office Word</Application>
  <DocSecurity>4</DocSecurity>
  <Lines>26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Longer Document title which is expanded to three lines!</vt:lpstr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Longer Document title which is expanded to three lines!</dc:title>
  <dc:subject/>
  <dc:creator>Author</dc:creator>
  <cp:keywords/>
  <dc:description/>
  <cp:lastModifiedBy>Sanita Kalnača</cp:lastModifiedBy>
  <cp:revision>2</cp:revision>
  <cp:lastPrinted>2024-05-10T15:11:00Z</cp:lastPrinted>
  <dcterms:created xsi:type="dcterms:W3CDTF">2025-06-05T13:21:00Z</dcterms:created>
  <dcterms:modified xsi:type="dcterms:W3CDTF">2025-06-05T13:21:00Z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0x01010036ACD9C704BFDB43AB1FD13C464DBE95</vt:lpwstr>
  </property>
</Properties>
</file>