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5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"/>
        <w:gridCol w:w="496"/>
        <w:gridCol w:w="1359"/>
        <w:gridCol w:w="2290"/>
        <w:gridCol w:w="2509"/>
        <w:gridCol w:w="566"/>
        <w:gridCol w:w="1069"/>
      </w:tblGrid>
      <w:tr w:rsidR="0040491B" w:rsidRPr="0040491B" w14:paraId="3C41CE8D" w14:textId="77777777" w:rsidTr="0040491B">
        <w:trPr>
          <w:gridAfter w:val="1"/>
          <w:wAfter w:w="644" w:type="pct"/>
          <w:trHeight w:val="190"/>
          <w:jc w:val="center"/>
        </w:trPr>
        <w:tc>
          <w:tcPr>
            <w:tcW w:w="1123" w:type="pct"/>
            <w:gridSpan w:val="3"/>
            <w:hideMark/>
          </w:tcPr>
          <w:p w14:paraId="36EC0618" w14:textId="77777777" w:rsidR="0040491B" w:rsidRPr="0040491B" w:rsidRDefault="0040491B" w:rsidP="0040491B">
            <w:pPr>
              <w:spacing w:after="0" w:line="240" w:lineRule="auto"/>
              <w:ind w:left="687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bookmarkStart w:id="0" w:name="_GoBack"/>
            <w:bookmarkEnd w:id="0"/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Anotācija pētījumam</w:t>
            </w:r>
          </w:p>
        </w:tc>
        <w:tc>
          <w:tcPr>
            <w:tcW w:w="3233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7B2AA73" w14:textId="7C4A467B" w:rsidR="0040491B" w:rsidRPr="0040491B" w:rsidRDefault="0040491B" w:rsidP="0040491B">
            <w:pPr>
              <w:spacing w:after="0" w:line="240" w:lineRule="auto"/>
              <w:ind w:left="687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Calibri" w:hAnsi="Times New Roman" w:cs="Times New Roman"/>
                <w:b/>
                <w:color w:val="000000"/>
              </w:rPr>
              <w:t>“</w:t>
            </w:r>
            <w:bookmarkStart w:id="1" w:name="_Hlk4064602"/>
            <w:r w:rsidRPr="0040491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Sociālās rehabilitācijas pakalpojumu personām ar redzes invaliditāti kvalitātes un efektivitātes kritēriju izstrāde’’</w:t>
            </w:r>
            <w:bookmarkEnd w:id="1"/>
            <w:r w:rsidRPr="0040491B">
              <w:rPr>
                <w:rFonts w:ascii="Times New Roman" w:eastAsia="Calibri" w:hAnsi="Times New Roman" w:cs="Times New Roman"/>
                <w:b/>
                <w:color w:val="000000"/>
              </w:rPr>
              <w:t>”</w:t>
            </w:r>
          </w:p>
        </w:tc>
      </w:tr>
      <w:tr w:rsidR="0040491B" w:rsidRPr="0040491B" w14:paraId="0411F928" w14:textId="77777777" w:rsidTr="0040491B">
        <w:trPr>
          <w:gridAfter w:val="2"/>
          <w:wAfter w:w="985" w:type="pct"/>
          <w:jc w:val="center"/>
        </w:trPr>
        <w:tc>
          <w:tcPr>
            <w:tcW w:w="1123" w:type="pct"/>
            <w:gridSpan w:val="3"/>
            <w:hideMark/>
          </w:tcPr>
          <w:p w14:paraId="439DC9B8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892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7507129" w14:textId="77777777" w:rsidR="0040491B" w:rsidRPr="0040491B" w:rsidRDefault="0040491B" w:rsidP="0040491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0491B" w:rsidRPr="0040491B" w14:paraId="67B0C74C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901D0B" w14:textId="0505BE57" w:rsidR="0040491B" w:rsidRPr="002A6549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6549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t>Pētījuma mērķis, uzdevumi un galvenie rezultāti latviešu valodā</w:t>
            </w:r>
          </w:p>
          <w:p w14:paraId="3046670C" w14:textId="783A794A" w:rsidR="0040491B" w:rsidRPr="002A6549" w:rsidRDefault="0040491B" w:rsidP="009B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Pētījuma mērķis ir sniegt priekšlikumus </w:t>
            </w:r>
            <w:r w:rsidR="00BF5F73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sociālās rehabilitācijas pakalpojuma personām ar redzes invaliditāti 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izmaksu efektivitātes uzlabošan</w:t>
            </w:r>
            <w:r w:rsidR="00354AD8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un efektīva, personām ar redzes </w:t>
            </w:r>
            <w:r w:rsidR="00855D85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invaliditāti 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piemērota, kvalitatīva pakalpojuma satura izveidošan</w:t>
            </w:r>
            <w:r w:rsidR="00354AD8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</w:t>
            </w:r>
            <w:r w:rsidR="00BF5F73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Pētījuma uzdevums ir saņemt neatkarīgu vērtējumu par esošās sociālo pakalpojumu sistēmas ietekmi uz klienta dzīves kvalitāti, atgriešanos darba tirgū, sociālo iekļaušanos utt.</w:t>
            </w:r>
          </w:p>
          <w:p w14:paraId="43441622" w14:textId="0B617F52" w:rsidR="009B1CEC" w:rsidRPr="002A6549" w:rsidRDefault="0040491B" w:rsidP="00354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Pētījuma uzdevumi iekļ</w:t>
            </w:r>
            <w:r w:rsidR="009C67A0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āva </w:t>
            </w:r>
            <w:r w:rsidR="009B1CEC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esošās situācijas apzināšanu un pakalpojuma kvalitātes un efektivitātes kritēriju identificēšanu, divu valstu pieredz</w:t>
            </w:r>
            <w:r w:rsidR="009C67A0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es</w:t>
            </w:r>
            <w:r w:rsidR="009B1CEC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9C67A0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apzināšanu </w:t>
            </w:r>
            <w:r w:rsidR="009B1CEC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līdzīgu pakalpojumu kvalitātes un efektivitātes</w:t>
            </w:r>
            <w:r w:rsidR="009C67A0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</w:t>
            </w:r>
            <w:r w:rsidR="00FC2892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ērīšanā</w:t>
            </w:r>
            <w:r w:rsidR="00354AD8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  <w:p w14:paraId="45A6E7E7" w14:textId="006F9685" w:rsidR="007A7458" w:rsidRPr="002A6549" w:rsidRDefault="0040491B" w:rsidP="007A7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Balstoties uz izvērtējuma rezultātiem, </w:t>
            </w:r>
            <w:r w:rsidR="00354AD8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pētnieku uzdevums </w:t>
            </w:r>
            <w:r w:rsidR="00BF5F73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bija</w:t>
            </w:r>
            <w:r w:rsidR="00354AD8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snie</w:t>
            </w:r>
            <w:r w:rsidR="00354AD8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gt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priekšlikumus mērķtiecīgiem pasākumiem </w:t>
            </w:r>
            <w:r w:rsidR="00FC2892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sociālās rehabilitācijas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pakalpojum</w:t>
            </w:r>
            <w:r w:rsidR="00FC2892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 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pieejamības, ietekmes uz </w:t>
            </w:r>
            <w:r w:rsidR="009C67A0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personu ar redzes invaliditāti </w:t>
            </w:r>
            <w:r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dzīves kvalitāti, efektivitātes un ilgtspējas uzlabošanai Latvijā</w:t>
            </w:r>
            <w:r w:rsidR="009C67A0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t.sk., </w:t>
            </w:r>
            <w:r w:rsidR="00BF5F73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</w:t>
            </w:r>
            <w:r w:rsidR="009B1CEC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niegt priekšlikumus atskaišu </w:t>
            </w:r>
            <w:r w:rsidR="00BF5F73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sistēmas </w:t>
            </w:r>
            <w:r w:rsidR="009B1CEC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uzlabošanai, kurā tiktu fiksēts, vai pakalpojums pēc būtības esošajā dizainā un finansējuma ietvarā ir atbilstošs klientu vajadzībām un sasniedz normatīvajos aktos noteiktā pakalpojuma mērķi</w:t>
            </w:r>
            <w:r w:rsidR="009C67A0" w:rsidRPr="002A654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  <w:p w14:paraId="73B6FA99" w14:textId="15972DE4" w:rsidR="007A7458" w:rsidRPr="002A6549" w:rsidRDefault="007A7458" w:rsidP="00BF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DB8A3FC" w14:textId="77777777" w:rsidR="0040491B" w:rsidRPr="002A6549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2A6549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</w:p>
          <w:p w14:paraId="4F65BCB0" w14:textId="744B68DB" w:rsidR="00987984" w:rsidRPr="007A7458" w:rsidRDefault="00C779CC" w:rsidP="00987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The aim of the study is to provide proposals for improving the cost-effectiveness of the social rehabilitation service for persons </w:t>
            </w:r>
            <w:r w:rsidR="00C13A6C" w:rsidRPr="00C13A6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with impaired vision </w:t>
            </w:r>
            <w:r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and for establishing an efficient, </w:t>
            </w:r>
            <w:r w:rsidR="00987984" w:rsidRPr="00987984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high-quality service content</w:t>
            </w:r>
            <w:r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for persons with </w:t>
            </w:r>
            <w:r w:rsidR="00CF0AE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impaired vision</w:t>
            </w:r>
            <w:r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. The aim of the study is to receive </w:t>
            </w:r>
            <w:r w:rsidR="00987984" w:rsidRPr="007A7458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an independent assessment of the impact of the existing social services system on the quality of life of the client, return to the </w:t>
            </w:r>
            <w:proofErr w:type="spellStart"/>
            <w:r w:rsidR="00987984" w:rsidRPr="007A7458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labour</w:t>
            </w:r>
            <w:proofErr w:type="spellEnd"/>
            <w:r w:rsidR="00987984" w:rsidRPr="007A7458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market, social inclusion, etc.</w:t>
            </w:r>
          </w:p>
          <w:p w14:paraId="48872223" w14:textId="52837A0B" w:rsidR="00C779CC" w:rsidRPr="00C779CC" w:rsidRDefault="00C779CC" w:rsidP="00C77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The tasks of the study included identifying the current situation </w:t>
            </w:r>
            <w:r w:rsidR="00987984" w:rsidRPr="007A7458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and identifying the quality and efficiency criteria for the service, identifying two countries' experience in measuring the quality and efficiency of similar services.</w:t>
            </w:r>
          </w:p>
          <w:p w14:paraId="75661140" w14:textId="42678CB1" w:rsidR="00C779CC" w:rsidRPr="00C779CC" w:rsidRDefault="00987984" w:rsidP="001E0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  <w:r w:rsidRPr="00987984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On the basis of the results of the assessment, researchers</w:t>
            </w:r>
            <w:r w:rsidRPr="00987984" w:rsidDel="00987984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r w:rsidR="00C779CC"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task was to provide proposals for targeted measures </w:t>
            </w:r>
            <w:r w:rsidRPr="00987984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to improve the availability of a social rehabilitation servic</w:t>
            </w:r>
            <w:r w:rsidR="00087F83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e and </w:t>
            </w:r>
            <w:r w:rsidRPr="00987984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the impact on the quality of life</w:t>
            </w:r>
            <w:r w:rsidR="001E0171" w:rsidRPr="00987984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of</w:t>
            </w:r>
            <w:r w:rsidR="001E0171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r w:rsidR="001E0171"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persons with </w:t>
            </w:r>
            <w:r w:rsidR="001E0171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impaired vision</w:t>
            </w:r>
            <w:r w:rsidRPr="00987984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, the </w:t>
            </w:r>
            <w:r w:rsidR="00087F83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service </w:t>
            </w:r>
            <w:r w:rsidRPr="00987984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efficiency and sustainability </w:t>
            </w:r>
            <w:r w:rsidR="00C779CC"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in Latvia, including </w:t>
            </w:r>
            <w:r w:rsidR="001E0171" w:rsidRPr="007A7458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proposals to improve the reporting system in which the service would be </w:t>
            </w:r>
            <w:r w:rsidR="001E0171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recorded,</w:t>
            </w:r>
            <w:r w:rsidR="001E0171" w:rsidRPr="007A7458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whether the service is appropriate in the design and funding framework </w:t>
            </w:r>
            <w:r w:rsidR="00087F83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and </w:t>
            </w:r>
            <w:r w:rsidR="00C779CC" w:rsidRPr="00C779CC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conforms to the needs of clients and fulfils the purpose of the service specified in regulatory enactments.</w:t>
            </w:r>
          </w:p>
        </w:tc>
      </w:tr>
      <w:tr w:rsidR="0040491B" w:rsidRPr="0040491B" w14:paraId="3D520376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DAA2FA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Galvenās pētījumā aplūkotās tēmas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AB07AA" w14:textId="0C552F9F" w:rsidR="0040491B" w:rsidRPr="0040491B" w:rsidRDefault="00855D85" w:rsidP="007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Sociālās rehabilitācijas pakalpojuma personām ar redzes invaliditāti (pakalpojuma sniedzējs LNB) </w:t>
            </w:r>
            <w:r w:rsidR="0040491B"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kvalitātes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un efektivitātes </w:t>
            </w:r>
            <w:r w:rsidR="0040491B"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mērīšana un politikas ietekmes noteikšana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. </w:t>
            </w:r>
          </w:p>
        </w:tc>
      </w:tr>
      <w:tr w:rsidR="0040491B" w:rsidRPr="0040491B" w14:paraId="67B9AA3D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5BA5B4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Pētījuma pasūtītājs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F0AA14" w14:textId="1AC47371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Latvijas Republikas </w:t>
            </w:r>
            <w:r w:rsidR="009B1CEC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Labklājības</w:t>
            </w:r>
            <w:r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ministrija</w:t>
            </w:r>
          </w:p>
        </w:tc>
      </w:tr>
      <w:tr w:rsidR="0040491B" w:rsidRPr="0040491B" w14:paraId="01B90DFB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C4D26E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Pētījuma īstenotājs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C9B1DC" w14:textId="21FC1E35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Calibri" w:hAnsi="Times New Roman" w:cs="Times New Roman"/>
                <w:color w:val="000000"/>
              </w:rPr>
              <w:t>SIA “</w:t>
            </w:r>
            <w:r w:rsidR="009B1CEC">
              <w:rPr>
                <w:rFonts w:ascii="Times New Roman" w:eastAsia="Calibri" w:hAnsi="Times New Roman" w:cs="Times New Roman"/>
                <w:color w:val="000000"/>
              </w:rPr>
              <w:t>ALGAR</w:t>
            </w:r>
            <w:r w:rsidR="00C779CC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</w:tr>
      <w:tr w:rsidR="0040491B" w:rsidRPr="0040491B" w14:paraId="1AC616FF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5A0D7B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Pētījuma īstenošanas gads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C4037A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2020. – 2021. gads</w:t>
            </w:r>
          </w:p>
        </w:tc>
      </w:tr>
      <w:tr w:rsidR="0040491B" w:rsidRPr="0040491B" w14:paraId="619084F0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6CE68A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Pētījuma finansēšanas summa un finansēšanas avots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D514EC" w14:textId="1A5BECF5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900</w:t>
            </w:r>
            <w:r w:rsidR="009B1C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0.</w:t>
            </w: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00 EUR bez PVN, </w:t>
            </w:r>
            <w:r w:rsidR="00C779C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valsts </w:t>
            </w:r>
            <w:r w:rsidR="009B1C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budžets</w:t>
            </w:r>
          </w:p>
        </w:tc>
      </w:tr>
      <w:tr w:rsidR="0040491B" w:rsidRPr="0040491B" w14:paraId="78F6A6D1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48D7EA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Pētījuma klasifikācija*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8FCEA1" w14:textId="77777777" w:rsidR="0040491B" w:rsidRPr="0040491B" w:rsidRDefault="0040491B" w:rsidP="007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12.2. padziļinātas ekspertīzes pētījumi politikas vai tiesiskā regulējuma izstrādei, politikas analīzei un ietekmes novērtēšanai – pētījumi, kas tiek izstrādāti, lai iegūtu neatkarīgu analīzi par konkrētas politikas vai tiesiskā regulējuma izstrādes nepieciešamību, novērtētu esošās politikas vai regulējuma īstenošanu un sasniegtos rezultātus</w:t>
            </w:r>
          </w:p>
        </w:tc>
      </w:tr>
      <w:tr w:rsidR="0040491B" w:rsidRPr="0040491B" w14:paraId="27FDB5E0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6A8E35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Politikas joma, nozare**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B0B325" w14:textId="77777777" w:rsidR="00855D85" w:rsidRDefault="0040491B" w:rsidP="0040491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40491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8. Nodarbinātības un sociālā politika, </w:t>
            </w:r>
          </w:p>
          <w:p w14:paraId="77DE58B3" w14:textId="41D55C53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8.2. Sociālā aizsardzība </w:t>
            </w:r>
          </w:p>
        </w:tc>
      </w:tr>
      <w:tr w:rsidR="0040491B" w:rsidRPr="0040491B" w14:paraId="5B20D5BE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372D1D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t>Pētījuma ģeogrāfiskais aptvērums</w:t>
            </w: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br/>
            </w: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(visa Latvija vai noteikts reģions/novads)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CA8A1A" w14:textId="77C3DCDE" w:rsidR="0040491B" w:rsidRPr="0040491B" w:rsidRDefault="009B1CEC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  <w:r w:rsidR="0040491B"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isa Latvija</w:t>
            </w:r>
          </w:p>
        </w:tc>
      </w:tr>
      <w:tr w:rsidR="0040491B" w:rsidRPr="0040491B" w14:paraId="6D156ACC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B4D31C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t>Pētījuma mērķa grupa/-as</w:t>
            </w: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br/>
            </w: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(piemēram, Latvijas iedzīvotāji darbspējas vecumā)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13A107" w14:textId="13EC2924" w:rsidR="0040491B" w:rsidRPr="0040491B" w:rsidRDefault="0040491B" w:rsidP="009B1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Personas ar </w:t>
            </w:r>
            <w:r w:rsidR="009B1CE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redzes invaliditāti</w:t>
            </w:r>
          </w:p>
        </w:tc>
      </w:tr>
      <w:tr w:rsidR="0040491B" w:rsidRPr="0040491B" w14:paraId="7588A075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AF0B78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Pētījumā izmantotās metodes pēc informācijas ieguves veida: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57E211" w14:textId="77777777" w:rsidR="0040491B" w:rsidRPr="0040491B" w:rsidRDefault="0040491B" w:rsidP="0040491B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40491B" w:rsidRPr="0040491B" w14:paraId="07191EA2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5809321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991EC0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1) tiesību aktu vai politikas plānošanas dokumentu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3D635A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</w:p>
        </w:tc>
      </w:tr>
      <w:tr w:rsidR="0040491B" w:rsidRPr="0040491B" w14:paraId="6CC39C9D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69B8EEE6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B1DF08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2) statistikas datu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C6269A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</w:p>
        </w:tc>
      </w:tr>
      <w:tr w:rsidR="0040491B" w:rsidRPr="0040491B" w14:paraId="797D5712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75C157E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B15054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3) esošo pētījumu datu sekundārā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6359EB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</w:p>
        </w:tc>
      </w:tr>
      <w:tr w:rsidR="0040491B" w:rsidRPr="0040491B" w14:paraId="7AAA8A3E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8825169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7A1D5C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4) padziļināto/ekspertu interviju veikšana un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C521B2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</w:p>
        </w:tc>
      </w:tr>
      <w:tr w:rsidR="0040491B" w:rsidRPr="0040491B" w14:paraId="7DA1292A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B8671E4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CC4451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5) fokusa grupu diskusiju veikšana un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65C772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</w:p>
        </w:tc>
      </w:tr>
      <w:tr w:rsidR="0040491B" w:rsidRPr="0040491B" w14:paraId="0552086B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AB53EC6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35F7FE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6) gadījumu izpēte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777861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</w:p>
        </w:tc>
      </w:tr>
      <w:tr w:rsidR="0040491B" w:rsidRPr="0040491B" w14:paraId="5C9D15DB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719A8EB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72141D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7) kvantitatīvās aptaujas veikšana un datu analīze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7A8716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</w:t>
            </w:r>
          </w:p>
        </w:tc>
      </w:tr>
      <w:tr w:rsidR="0040491B" w:rsidRPr="0040491B" w14:paraId="264002C1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15C5B9C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333C7A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8) citas metodes (norādīt, kādas)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A3CEC5" w14:textId="539E3EAE" w:rsidR="0040491B" w:rsidRPr="0040491B" w:rsidRDefault="00C779CC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</w:t>
            </w:r>
            <w:r w:rsidR="0040491B"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itu valstu labās prakses izpēte</w:t>
            </w:r>
          </w:p>
        </w:tc>
      </w:tr>
      <w:tr w:rsidR="0040491B" w:rsidRPr="0040491B" w14:paraId="6E5BBD8F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B67FE2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t>Kvantitatīvās pētījuma metodes</w:t>
            </w: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br/>
            </w: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(ja attiecināms):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54A570" w14:textId="77777777" w:rsidR="0040491B" w:rsidRPr="0040491B" w:rsidRDefault="0040491B" w:rsidP="0040491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0491B" w:rsidRPr="0040491B" w14:paraId="4324AF17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08416B4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67C5B0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1) aptaujas izlases metode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634E0A" w14:textId="67010277" w:rsidR="00793EFA" w:rsidRPr="0040491B" w:rsidRDefault="00793EFA" w:rsidP="0079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N/A</w:t>
            </w:r>
          </w:p>
          <w:p w14:paraId="5CB5BD1B" w14:textId="41AABCD0" w:rsidR="0040491B" w:rsidRPr="0040491B" w:rsidRDefault="0040491B" w:rsidP="0040491B">
            <w:pPr>
              <w:spacing w:after="0" w:line="240" w:lineRule="auto"/>
              <w:ind w:left="316" w:hanging="316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0491B" w:rsidRPr="0040491B" w14:paraId="7807BF18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15DEFFA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CC35DE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2) aptaujāto/anketēto respondentu/vienību skaits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BA4578" w14:textId="5E60445C" w:rsidR="0040491B" w:rsidRPr="0040491B" w:rsidRDefault="00793EFA" w:rsidP="0040491B">
            <w:pPr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N/A</w:t>
            </w:r>
          </w:p>
        </w:tc>
      </w:tr>
      <w:tr w:rsidR="0040491B" w:rsidRPr="0040491B" w14:paraId="385AD930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3AE5E4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t>Kvalitatīvās pētījuma metodes</w:t>
            </w: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lv-LV"/>
              </w:rPr>
              <w:br/>
            </w: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(ja attiecināms):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924480" w14:textId="77777777" w:rsidR="0040491B" w:rsidRPr="0040491B" w:rsidRDefault="0040491B" w:rsidP="0040491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40491B" w:rsidRPr="0040491B" w14:paraId="7A72F7C9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04AD57D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ECE817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1) padziļināto/ekspertu interviju skaits (ja attiecināms)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907F5E" w14:textId="42D7204C" w:rsidR="0040491B" w:rsidRPr="0040491B" w:rsidRDefault="00793EFA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N/A</w:t>
            </w:r>
          </w:p>
        </w:tc>
      </w:tr>
      <w:tr w:rsidR="0040491B" w:rsidRPr="0040491B" w14:paraId="033FA133" w14:textId="77777777" w:rsidTr="0040491B">
        <w:trPr>
          <w:gridBefore w:val="1"/>
          <w:wBefore w:w="5" w:type="pct"/>
          <w:jc w:val="center"/>
        </w:trPr>
        <w:tc>
          <w:tcPr>
            <w:tcW w:w="2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798D487" w14:textId="77777777" w:rsidR="0040491B" w:rsidRPr="0040491B" w:rsidRDefault="0040491B" w:rsidP="0040491B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99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1E1849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2) fokusa grupu diskusiju skaits (ja attiecināms)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9668CE" w14:textId="0CC82874" w:rsidR="0040491B" w:rsidRPr="0040491B" w:rsidRDefault="00793EFA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N/A</w:t>
            </w:r>
          </w:p>
        </w:tc>
      </w:tr>
      <w:tr w:rsidR="0040491B" w:rsidRPr="0040491B" w14:paraId="332F5FE0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17C678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Izmantotās analīzes grupas (griezumi)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25B221" w14:textId="0D58BF2C" w:rsidR="0040491B" w:rsidRPr="0040491B" w:rsidRDefault="00793EFA" w:rsidP="007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N/A</w:t>
            </w:r>
          </w:p>
        </w:tc>
      </w:tr>
      <w:tr w:rsidR="0040491B" w:rsidRPr="0040491B" w14:paraId="318C5D55" w14:textId="77777777" w:rsidTr="0040491B">
        <w:trPr>
          <w:gridBefore w:val="1"/>
          <w:wBefore w:w="5" w:type="pct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7DDD95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Pētījuma pasūtītāja kontaktinformācija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AA625C" w14:textId="78D78494" w:rsidR="0040491B" w:rsidRPr="0040491B" w:rsidRDefault="0040491B" w:rsidP="00855D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Pasūtītāja kontaktpersona: </w:t>
            </w:r>
            <w:r w:rsidR="00793EFA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Ineta </w:t>
            </w:r>
            <w:proofErr w:type="spellStart"/>
            <w:r w:rsidR="00793EFA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Pikše</w:t>
            </w:r>
            <w:proofErr w:type="spellEnd"/>
            <w:r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 (tālr.670</w:t>
            </w:r>
            <w:r w:rsidR="00793EFA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21634</w:t>
            </w:r>
            <w:r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 xml:space="preserve">, e-pasts: </w:t>
            </w:r>
            <w:r w:rsidR="00793EFA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Ineta.Pikse@lm.</w:t>
            </w:r>
            <w:r w:rsidRPr="0040491B"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gov.lv).</w:t>
            </w:r>
          </w:p>
        </w:tc>
      </w:tr>
      <w:tr w:rsidR="0040491B" w:rsidRPr="0040491B" w14:paraId="0395DCC6" w14:textId="77777777" w:rsidTr="0040491B">
        <w:trPr>
          <w:gridBefore w:val="1"/>
          <w:wBefore w:w="5" w:type="pct"/>
          <w:trHeight w:val="312"/>
          <w:jc w:val="center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E54DA8" w14:textId="77777777" w:rsidR="0040491B" w:rsidRPr="0040491B" w:rsidRDefault="0040491B" w:rsidP="00404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04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Pētījuma autori*** (autortiesību subjekti)</w:t>
            </w:r>
          </w:p>
        </w:tc>
        <w:tc>
          <w:tcPr>
            <w:tcW w:w="2497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E126AF" w14:textId="7F062D21" w:rsidR="0040491B" w:rsidRPr="0040491B" w:rsidRDefault="00793EFA" w:rsidP="00793E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lv-LV"/>
              </w:rPr>
              <w:t>SIA “ALGAR”</w:t>
            </w:r>
          </w:p>
        </w:tc>
      </w:tr>
    </w:tbl>
    <w:p w14:paraId="27433933" w14:textId="77777777" w:rsidR="0040491B" w:rsidRPr="0040491B" w:rsidRDefault="0040491B" w:rsidP="0040491B">
      <w:pPr>
        <w:spacing w:line="256" w:lineRule="auto"/>
        <w:rPr>
          <w:rFonts w:ascii="Calibri" w:eastAsia="Calibri" w:hAnsi="Calibri" w:cs="Times New Roman"/>
        </w:rPr>
      </w:pPr>
    </w:p>
    <w:p w14:paraId="09EAFA6E" w14:textId="77777777" w:rsidR="008755AA" w:rsidRDefault="008755AA"/>
    <w:sectPr w:rsidR="008755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1B"/>
    <w:rsid w:val="00087F83"/>
    <w:rsid w:val="001E0171"/>
    <w:rsid w:val="002A6549"/>
    <w:rsid w:val="00354AD8"/>
    <w:rsid w:val="0040491B"/>
    <w:rsid w:val="00793EFA"/>
    <w:rsid w:val="007A7458"/>
    <w:rsid w:val="00855D85"/>
    <w:rsid w:val="008755AA"/>
    <w:rsid w:val="00987984"/>
    <w:rsid w:val="009B1CEC"/>
    <w:rsid w:val="009C67A0"/>
    <w:rsid w:val="00BF5F73"/>
    <w:rsid w:val="00C13A6C"/>
    <w:rsid w:val="00C163F0"/>
    <w:rsid w:val="00C779CC"/>
    <w:rsid w:val="00CF0AE6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F72C3"/>
  <w15:chartTrackingRefBased/>
  <w15:docId w15:val="{B6696F05-456D-44C9-997D-C99FA8DB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77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1CB12-A756-4061-AFA4-370ADE8F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3039</Words>
  <Characters>1733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Labklājības ministrija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Pikse</dc:creator>
  <cp:keywords/>
  <dc:description/>
  <cp:lastModifiedBy>Zane Fridrihsberga</cp:lastModifiedBy>
  <cp:revision>2</cp:revision>
  <dcterms:created xsi:type="dcterms:W3CDTF">2025-04-24T08:39:00Z</dcterms:created>
  <dcterms:modified xsi:type="dcterms:W3CDTF">2025-04-24T08:39:00Z</dcterms:modified>
</cp:coreProperties>
</file>