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386C" w14:textId="77777777" w:rsidR="006F56DC" w:rsidRPr="006F56DC" w:rsidRDefault="006F56DC" w:rsidP="006F56DC">
      <w:pPr>
        <w:jc w:val="right"/>
        <w:rPr>
          <w:rFonts w:ascii="Arial" w:hAnsi="Arial" w:cs="Arial"/>
          <w:sz w:val="20"/>
          <w:szCs w:val="20"/>
        </w:rPr>
      </w:pPr>
      <w:r w:rsidRPr="006F56DC">
        <w:rPr>
          <w:rFonts w:ascii="Arial" w:hAnsi="Arial" w:cs="Arial"/>
          <w:sz w:val="20"/>
          <w:szCs w:val="20"/>
        </w:rPr>
        <w:t>8.pielikums</w:t>
      </w:r>
    </w:p>
    <w:p w14:paraId="4AE456E2" w14:textId="77777777" w:rsidR="006F56DC" w:rsidRPr="00801702" w:rsidRDefault="006F56DC" w:rsidP="006F56DC">
      <w:pPr>
        <w:jc w:val="center"/>
        <w:rPr>
          <w:sz w:val="18"/>
          <w:szCs w:val="18"/>
        </w:rPr>
      </w:pPr>
    </w:p>
    <w:p w14:paraId="34E5F92A" w14:textId="6E8956C1" w:rsidR="006F56DC" w:rsidRPr="00801702" w:rsidRDefault="006F56DC" w:rsidP="006F56DC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801702">
        <w:rPr>
          <w:rFonts w:ascii="Arial" w:hAnsi="Arial" w:cs="Arial"/>
          <w:color w:val="000000" w:themeColor="text1"/>
          <w:sz w:val="18"/>
          <w:szCs w:val="18"/>
        </w:rPr>
        <w:t>TemPl</w:t>
      </w:r>
      <w:proofErr w:type="spellEnd"/>
      <w:r w:rsidRPr="00801702">
        <w:rPr>
          <w:rFonts w:ascii="Arial" w:hAnsi="Arial" w:cs="Arial"/>
          <w:caps/>
          <w:sz w:val="18"/>
          <w:szCs w:val="18"/>
        </w:rPr>
        <w:t xml:space="preserve"> izstrādes </w:t>
      </w:r>
      <w:r w:rsidR="00151875" w:rsidRPr="00801702">
        <w:rPr>
          <w:rFonts w:ascii="Arial" w:hAnsi="Arial" w:cs="Arial"/>
          <w:caps/>
          <w:sz w:val="18"/>
          <w:szCs w:val="18"/>
        </w:rPr>
        <w:t xml:space="preserve">procesa Provizorisks </w:t>
      </w:r>
      <w:r w:rsidRPr="00801702">
        <w:rPr>
          <w:rFonts w:ascii="Arial" w:hAnsi="Arial" w:cs="Arial"/>
          <w:caps/>
          <w:sz w:val="18"/>
          <w:szCs w:val="18"/>
        </w:rPr>
        <w:t>stipro, vājo pušu, iespēju un draudu vērtējums.</w:t>
      </w:r>
    </w:p>
    <w:p w14:paraId="75948AA9" w14:textId="77777777" w:rsidR="006F56DC" w:rsidRPr="00BE0110" w:rsidRDefault="006F56DC" w:rsidP="006F56DC">
      <w:pPr>
        <w:rPr>
          <w:rFonts w:ascii="Arial" w:hAnsi="Arial" w:cs="Arial"/>
          <w:caps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6F56DC" w:rsidRPr="006263AB" w14:paraId="1643CA07" w14:textId="77777777" w:rsidTr="00BA2BB6">
        <w:tc>
          <w:tcPr>
            <w:tcW w:w="9855" w:type="dxa"/>
            <w:shd w:val="clear" w:color="auto" w:fill="F2F2F2" w:themeFill="background1" w:themeFillShade="F2"/>
          </w:tcPr>
          <w:p w14:paraId="5E985D65" w14:textId="77777777" w:rsidR="006F56DC" w:rsidRPr="006263AB" w:rsidRDefault="006F56DC" w:rsidP="00BA2BB6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6263AB">
              <w:rPr>
                <w:rFonts w:ascii="Arial" w:hAnsi="Arial" w:cs="Arial"/>
                <w:b/>
                <w:bCs/>
                <w:caps/>
                <w:color w:val="808080"/>
                <w:sz w:val="22"/>
                <w:szCs w:val="22"/>
              </w:rPr>
              <w:t>Stiprās puses</w:t>
            </w:r>
          </w:p>
        </w:tc>
      </w:tr>
      <w:tr w:rsidR="006F56DC" w:rsidRPr="006263AB" w14:paraId="47B3D5F0" w14:textId="77777777" w:rsidTr="00BA2BB6">
        <w:tc>
          <w:tcPr>
            <w:tcW w:w="9855" w:type="dxa"/>
            <w:shd w:val="clear" w:color="auto" w:fill="auto"/>
          </w:tcPr>
          <w:p w14:paraId="41AA3C52" w14:textId="77777777" w:rsidR="006F56DC" w:rsidRPr="006263AB" w:rsidRDefault="006F56DC" w:rsidP="00BA2BB6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1CD9050B" w14:textId="77777777" w:rsidR="00FD113E" w:rsidRDefault="006F56DC" w:rsidP="00FD11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1FFA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346C4C2">
              <w:rPr>
                <w:rFonts w:ascii="Arial" w:hAnsi="Arial" w:cs="Arial"/>
                <w:sz w:val="20"/>
                <w:szCs w:val="20"/>
              </w:rPr>
              <w:t xml:space="preserve"> izstrāde</w:t>
            </w:r>
            <w:r w:rsidR="00FD113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8CBA16" w14:textId="5122E57C" w:rsidR="00FD113E" w:rsidRDefault="006F56DC" w:rsidP="00FD113E">
            <w:pPr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6D1FFA">
              <w:rPr>
                <w:rFonts w:ascii="Arial" w:hAnsi="Arial" w:cs="Arial"/>
                <w:sz w:val="20"/>
                <w:szCs w:val="20"/>
              </w:rPr>
              <w:t xml:space="preserve">veicina </w:t>
            </w:r>
            <w:r w:rsidR="00FD113E">
              <w:rPr>
                <w:rFonts w:ascii="Arial" w:hAnsi="Arial" w:cs="Arial"/>
                <w:sz w:val="20"/>
                <w:szCs w:val="20"/>
              </w:rPr>
              <w:t>d</w:t>
            </w:r>
            <w:r w:rsidRPr="006D1FFA">
              <w:rPr>
                <w:rFonts w:ascii="Arial" w:hAnsi="Arial" w:cs="Arial"/>
                <w:sz w:val="20"/>
                <w:szCs w:val="20"/>
              </w:rPr>
              <w:t>etalizētu vietu izpēti</w:t>
            </w:r>
            <w:r w:rsidR="00FD113E">
              <w:rPr>
                <w:rFonts w:ascii="Arial" w:hAnsi="Arial" w:cs="Arial"/>
                <w:sz w:val="20"/>
                <w:szCs w:val="20"/>
              </w:rPr>
              <w:t xml:space="preserve">, vērtību un trūkumu identificēšanu pašvaldības teritorijā, </w:t>
            </w:r>
            <w:r w:rsidR="00FD113E" w:rsidRPr="006D1FFA">
              <w:rPr>
                <w:rFonts w:ascii="Arial" w:hAnsi="Arial" w:cs="Arial"/>
                <w:sz w:val="20"/>
                <w:szCs w:val="20"/>
              </w:rPr>
              <w:t xml:space="preserve">specifisku jautājumu risināšanu </w:t>
            </w:r>
            <w:r w:rsidR="00FD113E">
              <w:rPr>
                <w:rFonts w:ascii="Arial" w:hAnsi="Arial" w:cs="Arial"/>
                <w:sz w:val="20"/>
                <w:szCs w:val="20"/>
              </w:rPr>
              <w:t xml:space="preserve">un sagatavo datos balstītu </w:t>
            </w:r>
            <w:r w:rsidR="00FD113E" w:rsidRPr="006D1FFA">
              <w:rPr>
                <w:rFonts w:ascii="Arial" w:hAnsi="Arial" w:cs="Arial"/>
                <w:sz w:val="20"/>
                <w:szCs w:val="20"/>
              </w:rPr>
              <w:t xml:space="preserve">pamatojumu </w:t>
            </w:r>
            <w:r w:rsidR="00FD113E">
              <w:rPr>
                <w:rFonts w:ascii="Arial" w:hAnsi="Arial" w:cs="Arial"/>
                <w:sz w:val="20"/>
                <w:szCs w:val="20"/>
              </w:rPr>
              <w:t xml:space="preserve">TP </w:t>
            </w:r>
            <w:r w:rsidR="00FD113E" w:rsidRPr="006D1FFA">
              <w:rPr>
                <w:rFonts w:ascii="Arial" w:hAnsi="Arial" w:cs="Arial"/>
                <w:sz w:val="20"/>
                <w:szCs w:val="20"/>
              </w:rPr>
              <w:t>un citu pašvaldības dokumentu izstrād</w:t>
            </w:r>
            <w:r w:rsidR="00FD113E">
              <w:rPr>
                <w:rFonts w:ascii="Arial" w:hAnsi="Arial" w:cs="Arial"/>
                <w:sz w:val="20"/>
                <w:szCs w:val="20"/>
              </w:rPr>
              <w:t>ei, kā arī lēmumu pieņemšanai</w:t>
            </w:r>
            <w:r w:rsidR="003B2057">
              <w:rPr>
                <w:rFonts w:ascii="Arial" w:hAnsi="Arial" w:cs="Arial"/>
                <w:sz w:val="20"/>
                <w:szCs w:val="20"/>
              </w:rPr>
              <w:t xml:space="preserve">, ts.sk. </w:t>
            </w:r>
            <w:r w:rsidR="00FD113E">
              <w:rPr>
                <w:rFonts w:ascii="Arial" w:hAnsi="Arial" w:cs="Arial"/>
                <w:sz w:val="20"/>
                <w:szCs w:val="20"/>
              </w:rPr>
              <w:t xml:space="preserve">finanšu jomā; </w:t>
            </w:r>
          </w:p>
          <w:p w14:paraId="546EA336" w14:textId="2D6E38A4" w:rsidR="00FD113E" w:rsidRPr="006D1FFA" w:rsidRDefault="00FD113E" w:rsidP="00FD113E">
            <w:pPr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D1FFA">
              <w:rPr>
                <w:rFonts w:ascii="Arial" w:hAnsi="Arial" w:cs="Arial"/>
                <w:sz w:val="20"/>
                <w:szCs w:val="20"/>
              </w:rPr>
              <w:t xml:space="preserve">ktivizē sabiedrības </w:t>
            </w:r>
            <w:r w:rsidR="003B2057" w:rsidRPr="006D1FFA">
              <w:rPr>
                <w:rFonts w:ascii="Arial" w:hAnsi="Arial" w:cs="Arial"/>
                <w:sz w:val="20"/>
                <w:szCs w:val="20"/>
              </w:rPr>
              <w:t xml:space="preserve">iesaisti </w:t>
            </w:r>
            <w:r w:rsidR="003B2057">
              <w:rPr>
                <w:rFonts w:ascii="Arial" w:hAnsi="Arial" w:cs="Arial"/>
                <w:sz w:val="20"/>
                <w:szCs w:val="20"/>
              </w:rPr>
              <w:t xml:space="preserve">un </w:t>
            </w:r>
            <w:proofErr w:type="spellStart"/>
            <w:r w:rsidRPr="006D1FFA">
              <w:rPr>
                <w:rFonts w:ascii="Arial" w:hAnsi="Arial" w:cs="Arial"/>
                <w:sz w:val="20"/>
                <w:szCs w:val="20"/>
              </w:rPr>
              <w:t>īdzdalību</w:t>
            </w:r>
            <w:proofErr w:type="spellEnd"/>
            <w:r w:rsidRPr="006D1FFA">
              <w:rPr>
                <w:rFonts w:ascii="Arial" w:hAnsi="Arial" w:cs="Arial"/>
                <w:sz w:val="20"/>
                <w:szCs w:val="20"/>
              </w:rPr>
              <w:t xml:space="preserve"> pašvaldības teritorijas attīstības plānošanā;</w:t>
            </w:r>
          </w:p>
          <w:p w14:paraId="12F2EDF0" w14:textId="2E9AB3FE" w:rsidR="0073007E" w:rsidRDefault="00FD113E" w:rsidP="0073007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3007E">
              <w:rPr>
                <w:rFonts w:ascii="Arial" w:hAnsi="Arial" w:cs="Arial"/>
                <w:sz w:val="20"/>
                <w:szCs w:val="20"/>
              </w:rPr>
              <w:t xml:space="preserve">paaugstina </w:t>
            </w:r>
            <w:proofErr w:type="spellStart"/>
            <w:r w:rsidRPr="0073007E">
              <w:rPr>
                <w:rFonts w:ascii="Arial" w:hAnsi="Arial" w:cs="Arial"/>
                <w:sz w:val="20"/>
                <w:szCs w:val="20"/>
              </w:rPr>
              <w:t>Tem</w:t>
            </w:r>
            <w:proofErr w:type="spellEnd"/>
            <w:r w:rsidRPr="0073007E">
              <w:rPr>
                <w:rFonts w:ascii="Arial" w:hAnsi="Arial" w:cs="Arial"/>
                <w:sz w:val="20"/>
                <w:szCs w:val="20"/>
              </w:rPr>
              <w:t xml:space="preserve"> Pl izstrādes procesā iesaistīto pašvaldības darbinieku kapacitāti, uzlabo pašvaldības struktūrvienību savstarpējo sadarbību, kā arī sadarbību</w:t>
            </w:r>
            <w:r w:rsidR="003B2057">
              <w:rPr>
                <w:rFonts w:ascii="Arial" w:hAnsi="Arial" w:cs="Arial"/>
                <w:sz w:val="20"/>
                <w:szCs w:val="20"/>
              </w:rPr>
              <w:t xml:space="preserve"> ar </w:t>
            </w:r>
            <w:r w:rsidRPr="0073007E">
              <w:rPr>
                <w:rFonts w:ascii="Arial" w:hAnsi="Arial" w:cs="Arial"/>
                <w:sz w:val="20"/>
                <w:szCs w:val="20"/>
              </w:rPr>
              <w:t>valsts institūcijām</w:t>
            </w:r>
            <w:r w:rsidR="003B20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3007E">
              <w:rPr>
                <w:rFonts w:ascii="Arial" w:hAnsi="Arial" w:cs="Arial"/>
                <w:sz w:val="20"/>
                <w:szCs w:val="20"/>
              </w:rPr>
              <w:t xml:space="preserve"> nozaru ekspertiem</w:t>
            </w:r>
            <w:r w:rsidR="0073007E" w:rsidRPr="0073007E">
              <w:rPr>
                <w:rFonts w:ascii="Arial" w:hAnsi="Arial" w:cs="Arial"/>
                <w:sz w:val="20"/>
                <w:szCs w:val="20"/>
              </w:rPr>
              <w:t xml:space="preserve"> un pieredzes apmaiņu pašvaldību starpā</w:t>
            </w:r>
            <w:r w:rsidR="003B205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F9A8D8" w14:textId="77777777" w:rsidR="0073007E" w:rsidRPr="0073007E" w:rsidRDefault="0073007E" w:rsidP="0073007E">
            <w:pPr>
              <w:pStyle w:val="List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3AD8DE18" w14:textId="4A6D9864" w:rsidR="006F56DC" w:rsidRPr="0073007E" w:rsidRDefault="00FD113E" w:rsidP="00FD113E">
            <w:pPr>
              <w:numPr>
                <w:ilvl w:val="0"/>
                <w:numId w:val="1"/>
              </w:numPr>
              <w:ind w:left="207"/>
              <w:rPr>
                <w:rFonts w:ascii="Arial" w:hAnsi="Arial" w:cs="Arial"/>
                <w:sz w:val="20"/>
                <w:szCs w:val="20"/>
              </w:rPr>
            </w:pPr>
            <w:r w:rsidRPr="0073007E">
              <w:rPr>
                <w:rFonts w:ascii="Arial" w:hAnsi="Arial" w:cs="Arial"/>
                <w:sz w:val="20"/>
                <w:szCs w:val="20"/>
              </w:rPr>
              <w:t xml:space="preserve">Atbilstoši normatīvā regulējuma prasībām </w:t>
            </w:r>
            <w:proofErr w:type="spellStart"/>
            <w:r w:rsidRPr="0073007E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73007E">
              <w:rPr>
                <w:rFonts w:ascii="Arial" w:hAnsi="Arial" w:cs="Arial"/>
                <w:sz w:val="20"/>
                <w:szCs w:val="20"/>
              </w:rPr>
              <w:t xml:space="preserve"> ir publiski pieejami TAPIS</w:t>
            </w:r>
            <w:r w:rsidR="0073007E" w:rsidRPr="0073007E">
              <w:rPr>
                <w:rFonts w:ascii="Arial" w:hAnsi="Arial" w:cs="Arial"/>
                <w:sz w:val="20"/>
                <w:szCs w:val="20"/>
              </w:rPr>
              <w:t xml:space="preserve">, līdz ar to tiek nodrošināta </w:t>
            </w:r>
            <w:proofErr w:type="spellStart"/>
            <w:r w:rsidR="003B2057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="003B2057">
              <w:rPr>
                <w:rFonts w:ascii="Arial" w:hAnsi="Arial" w:cs="Arial"/>
                <w:sz w:val="20"/>
                <w:szCs w:val="20"/>
              </w:rPr>
              <w:t xml:space="preserve"> publicitāte, </w:t>
            </w:r>
            <w:r w:rsidR="0073007E" w:rsidRPr="0073007E">
              <w:rPr>
                <w:rFonts w:ascii="Arial" w:hAnsi="Arial" w:cs="Arial"/>
                <w:sz w:val="20"/>
                <w:szCs w:val="20"/>
              </w:rPr>
              <w:t xml:space="preserve">datu un risinājumu </w:t>
            </w:r>
            <w:r w:rsidRPr="0073007E">
              <w:rPr>
                <w:rFonts w:ascii="Arial" w:hAnsi="Arial" w:cs="Arial"/>
                <w:sz w:val="20"/>
                <w:szCs w:val="20"/>
              </w:rPr>
              <w:t>uzglabā</w:t>
            </w:r>
            <w:r w:rsidR="0073007E" w:rsidRPr="0073007E">
              <w:rPr>
                <w:rFonts w:ascii="Arial" w:hAnsi="Arial" w:cs="Arial"/>
                <w:sz w:val="20"/>
                <w:szCs w:val="20"/>
              </w:rPr>
              <w:t>šana</w:t>
            </w:r>
            <w:r w:rsidR="0073007E">
              <w:rPr>
                <w:rFonts w:ascii="Arial" w:hAnsi="Arial" w:cs="Arial"/>
                <w:sz w:val="20"/>
                <w:szCs w:val="20"/>
              </w:rPr>
              <w:t xml:space="preserve">, kā arī izmantošana </w:t>
            </w:r>
            <w:r w:rsidRPr="0073007E">
              <w:rPr>
                <w:rFonts w:ascii="Arial" w:hAnsi="Arial" w:cs="Arial"/>
                <w:sz w:val="20"/>
                <w:szCs w:val="20"/>
              </w:rPr>
              <w:t>ilg</w:t>
            </w:r>
            <w:r w:rsidR="0073007E" w:rsidRPr="0073007E">
              <w:rPr>
                <w:rFonts w:ascii="Arial" w:hAnsi="Arial" w:cs="Arial"/>
                <w:sz w:val="20"/>
                <w:szCs w:val="20"/>
              </w:rPr>
              <w:t xml:space="preserve">termiņā. </w:t>
            </w:r>
          </w:p>
          <w:p w14:paraId="6BCD8D55" w14:textId="77777777" w:rsidR="006F56DC" w:rsidRPr="006263AB" w:rsidRDefault="006F56DC" w:rsidP="000D14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6DC" w:rsidRPr="006263AB" w14:paraId="3579D145" w14:textId="77777777" w:rsidTr="00BA2BB6">
        <w:tc>
          <w:tcPr>
            <w:tcW w:w="9855" w:type="dxa"/>
            <w:shd w:val="clear" w:color="auto" w:fill="F2F2F2" w:themeFill="background1" w:themeFillShade="F2"/>
          </w:tcPr>
          <w:p w14:paraId="59232CC8" w14:textId="77777777" w:rsidR="006F56DC" w:rsidRPr="006263AB" w:rsidRDefault="006F56DC" w:rsidP="00BA2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3AB">
              <w:rPr>
                <w:rFonts w:ascii="Arial" w:hAnsi="Arial" w:cs="Arial"/>
                <w:b/>
                <w:bCs/>
                <w:caps/>
                <w:color w:val="808080"/>
                <w:sz w:val="22"/>
                <w:szCs w:val="22"/>
              </w:rPr>
              <w:t>vājās puses</w:t>
            </w:r>
          </w:p>
        </w:tc>
      </w:tr>
      <w:tr w:rsidR="006F56DC" w:rsidRPr="00E841CA" w14:paraId="157B85DD" w14:textId="77777777" w:rsidTr="00BA2BB6">
        <w:tc>
          <w:tcPr>
            <w:tcW w:w="9855" w:type="dxa"/>
            <w:shd w:val="clear" w:color="auto" w:fill="auto"/>
          </w:tcPr>
          <w:p w14:paraId="1D5E0B07" w14:textId="77777777" w:rsidR="006F56DC" w:rsidRPr="0073007E" w:rsidRDefault="006F56DC" w:rsidP="00BA2BB6">
            <w:pPr>
              <w:ind w:left="567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FE4CE70" w14:textId="149715A1" w:rsidR="00A5001C" w:rsidRPr="00A5001C" w:rsidRDefault="00A5001C" w:rsidP="00801702">
            <w:pPr>
              <w:numPr>
                <w:ilvl w:val="0"/>
                <w:numId w:val="1"/>
              </w:numPr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01C">
              <w:rPr>
                <w:rFonts w:ascii="Arial" w:hAnsi="Arial" w:cs="Arial"/>
                <w:sz w:val="20"/>
                <w:szCs w:val="20"/>
              </w:rPr>
              <w:t xml:space="preserve">Pašvaldību ieskatā </w:t>
            </w:r>
            <w:proofErr w:type="spellStart"/>
            <w:r w:rsidRPr="00A5001C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A5001C">
              <w:rPr>
                <w:rFonts w:ascii="Arial" w:hAnsi="Arial" w:cs="Arial"/>
                <w:sz w:val="20"/>
                <w:szCs w:val="20"/>
              </w:rPr>
              <w:t xml:space="preserve"> juridiskais statuss un tā integrēšana pašvaldības saistošajos dokumentos pašlaik nav viennozīmīgi saprotama</w:t>
            </w:r>
            <w:r w:rsidR="009E7DE7">
              <w:rPr>
                <w:rFonts w:ascii="Arial" w:hAnsi="Arial" w:cs="Arial"/>
                <w:sz w:val="20"/>
                <w:szCs w:val="20"/>
              </w:rPr>
              <w:t xml:space="preserve">, jo </w:t>
            </w:r>
            <w:proofErr w:type="spellStart"/>
            <w:r w:rsidR="009E7DE7" w:rsidRPr="00040A7C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="009E7DE7" w:rsidRPr="00040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7DE7">
              <w:rPr>
                <w:rFonts w:ascii="Arial" w:hAnsi="Arial" w:cs="Arial"/>
                <w:sz w:val="20"/>
                <w:szCs w:val="20"/>
              </w:rPr>
              <w:t xml:space="preserve">risinājumu </w:t>
            </w:r>
            <w:r w:rsidR="009E7DE7" w:rsidRPr="00040A7C">
              <w:rPr>
                <w:rFonts w:ascii="Arial" w:hAnsi="Arial" w:cs="Arial"/>
                <w:sz w:val="20"/>
                <w:szCs w:val="20"/>
              </w:rPr>
              <w:t xml:space="preserve">integrēšanu </w:t>
            </w:r>
            <w:r w:rsidR="009E7DE7">
              <w:rPr>
                <w:rFonts w:ascii="Arial" w:hAnsi="Arial" w:cs="Arial"/>
                <w:sz w:val="20"/>
                <w:szCs w:val="20"/>
              </w:rPr>
              <w:t xml:space="preserve">TP, LP, DP </w:t>
            </w:r>
            <w:r w:rsidR="009E7DE7" w:rsidRPr="00040A7C">
              <w:rPr>
                <w:rFonts w:ascii="Arial" w:hAnsi="Arial" w:cs="Arial"/>
                <w:sz w:val="20"/>
                <w:szCs w:val="20"/>
              </w:rPr>
              <w:t>apgrūtina dokumentu atšķirīgā detalizācija un mērogi</w:t>
            </w:r>
            <w:r w:rsidRPr="00A5001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Līdz ar to pašvaldībām trūkst pārliecības par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risinājumu izmantošanas efektivitāti;</w:t>
            </w:r>
          </w:p>
          <w:p w14:paraId="68550F6C" w14:textId="68C121CE" w:rsidR="00A5001C" w:rsidRDefault="00A5001C" w:rsidP="00801702">
            <w:pPr>
              <w:numPr>
                <w:ilvl w:val="0"/>
                <w:numId w:val="1"/>
              </w:numPr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C3B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307C3B">
              <w:rPr>
                <w:rFonts w:ascii="Arial" w:hAnsi="Arial" w:cs="Arial"/>
                <w:sz w:val="20"/>
                <w:szCs w:val="20"/>
              </w:rPr>
              <w:t xml:space="preserve"> izstrādes mērķi pašvaldības lēmumos un darba uzdevumos ne vienmēr ir formulēti tādā veidā, lai </w:t>
            </w:r>
            <w:r w:rsidR="003B2057" w:rsidRPr="00307C3B">
              <w:rPr>
                <w:rFonts w:ascii="Arial" w:hAnsi="Arial" w:cs="Arial"/>
                <w:sz w:val="20"/>
                <w:szCs w:val="20"/>
              </w:rPr>
              <w:t xml:space="preserve">iedzīvotājiem </w:t>
            </w:r>
            <w:r w:rsidR="003B2057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307C3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olitiķiem </w:t>
            </w:r>
            <w:r w:rsidR="003B2057">
              <w:rPr>
                <w:rFonts w:ascii="Arial" w:hAnsi="Arial" w:cs="Arial"/>
                <w:sz w:val="20"/>
                <w:szCs w:val="20"/>
              </w:rPr>
              <w:t xml:space="preserve">ir </w:t>
            </w:r>
            <w:r w:rsidRPr="00307C3B">
              <w:rPr>
                <w:rFonts w:ascii="Arial" w:hAnsi="Arial" w:cs="Arial"/>
                <w:sz w:val="20"/>
                <w:szCs w:val="20"/>
              </w:rPr>
              <w:t>skaidri nolasāmi ieguvumi</w:t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izstrādes</w:t>
            </w:r>
            <w:r w:rsidRPr="00307C3B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9B29A23" w14:textId="03258ED1" w:rsidR="007E3403" w:rsidRDefault="00A5001C" w:rsidP="00801702">
            <w:pPr>
              <w:numPr>
                <w:ilvl w:val="0"/>
                <w:numId w:val="1"/>
              </w:numPr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475D2" w:rsidRPr="00040A7C">
              <w:rPr>
                <w:rFonts w:ascii="Arial" w:hAnsi="Arial" w:cs="Arial"/>
                <w:sz w:val="20"/>
                <w:szCs w:val="20"/>
              </w:rPr>
              <w:t xml:space="preserve">ašvaldību darbinieku un arī </w:t>
            </w:r>
            <w:proofErr w:type="spellStart"/>
            <w:r w:rsidR="006475D2" w:rsidRPr="00040A7C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="006475D2" w:rsidRPr="00040A7C">
              <w:rPr>
                <w:rFonts w:ascii="Arial" w:hAnsi="Arial" w:cs="Arial"/>
                <w:sz w:val="20"/>
                <w:szCs w:val="20"/>
              </w:rPr>
              <w:t xml:space="preserve"> izstrādātāju zināšanas par </w:t>
            </w:r>
            <w:proofErr w:type="spellStart"/>
            <w:r w:rsidR="006475D2" w:rsidRPr="00040A7C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="006475D2" w:rsidRPr="00040A7C">
              <w:rPr>
                <w:rFonts w:ascii="Arial" w:hAnsi="Arial" w:cs="Arial"/>
                <w:sz w:val="20"/>
                <w:szCs w:val="20"/>
              </w:rPr>
              <w:t xml:space="preserve"> izstrādi un </w:t>
            </w:r>
            <w:r w:rsidR="006475D2">
              <w:rPr>
                <w:rFonts w:ascii="Arial" w:hAnsi="Arial" w:cs="Arial"/>
                <w:sz w:val="20"/>
                <w:szCs w:val="20"/>
              </w:rPr>
              <w:t xml:space="preserve">tā </w:t>
            </w:r>
            <w:r w:rsidR="006475D2" w:rsidRPr="00040A7C">
              <w:rPr>
                <w:rFonts w:ascii="Arial" w:hAnsi="Arial" w:cs="Arial"/>
                <w:sz w:val="20"/>
                <w:szCs w:val="20"/>
              </w:rPr>
              <w:t>integrēšan</w:t>
            </w:r>
            <w:r>
              <w:rPr>
                <w:rFonts w:ascii="Arial" w:hAnsi="Arial" w:cs="Arial"/>
                <w:sz w:val="20"/>
                <w:szCs w:val="20"/>
              </w:rPr>
              <w:t>as iespējām</w:t>
            </w:r>
            <w:r w:rsidR="006475D2" w:rsidRPr="00040A7C">
              <w:rPr>
                <w:rFonts w:ascii="Arial" w:hAnsi="Arial" w:cs="Arial"/>
                <w:sz w:val="20"/>
                <w:szCs w:val="20"/>
              </w:rPr>
              <w:t xml:space="preserve"> citos pašvaldības dokumentos</w:t>
            </w:r>
            <w:r w:rsidR="006475D2">
              <w:rPr>
                <w:rFonts w:ascii="Arial" w:hAnsi="Arial" w:cs="Arial"/>
                <w:sz w:val="20"/>
                <w:szCs w:val="20"/>
              </w:rPr>
              <w:t>, kā arī praktiskā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5D2">
              <w:rPr>
                <w:rFonts w:ascii="Arial" w:hAnsi="Arial" w:cs="Arial"/>
                <w:sz w:val="20"/>
                <w:szCs w:val="20"/>
              </w:rPr>
              <w:t>pieredze</w:t>
            </w:r>
            <w:r>
              <w:rPr>
                <w:rFonts w:ascii="Arial" w:hAnsi="Arial" w:cs="Arial"/>
                <w:sz w:val="20"/>
                <w:szCs w:val="20"/>
              </w:rPr>
              <w:t xml:space="preserve"> daudzviet ir nepietiekama, kas </w:t>
            </w:r>
            <w:r w:rsidR="007D2478">
              <w:rPr>
                <w:rFonts w:ascii="Arial" w:hAnsi="Arial" w:cs="Arial"/>
                <w:sz w:val="20"/>
                <w:szCs w:val="20"/>
              </w:rPr>
              <w:t>ietekmē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5D2">
              <w:rPr>
                <w:rFonts w:ascii="Arial" w:hAnsi="Arial" w:cs="Arial"/>
                <w:sz w:val="20"/>
                <w:szCs w:val="20"/>
              </w:rPr>
              <w:t>precīz</w:t>
            </w:r>
            <w:r w:rsidR="007D2478">
              <w:rPr>
                <w:rFonts w:ascii="Arial" w:hAnsi="Arial" w:cs="Arial"/>
                <w:sz w:val="20"/>
                <w:szCs w:val="20"/>
              </w:rPr>
              <w:t>a</w:t>
            </w:r>
            <w:r w:rsidR="006475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75D2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="006475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5D2" w:rsidRPr="00040A7C">
              <w:rPr>
                <w:rFonts w:ascii="Arial" w:hAnsi="Arial" w:cs="Arial"/>
                <w:sz w:val="20"/>
                <w:szCs w:val="20"/>
              </w:rPr>
              <w:t>darba uzdevuma un tehnisk</w:t>
            </w:r>
            <w:r>
              <w:rPr>
                <w:rFonts w:ascii="Arial" w:hAnsi="Arial" w:cs="Arial"/>
                <w:sz w:val="20"/>
                <w:szCs w:val="20"/>
              </w:rPr>
              <w:t>ās</w:t>
            </w:r>
            <w:r w:rsidR="006475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5D2" w:rsidRPr="00040A7C">
              <w:rPr>
                <w:rFonts w:ascii="Arial" w:hAnsi="Arial" w:cs="Arial"/>
                <w:sz w:val="20"/>
                <w:szCs w:val="20"/>
              </w:rPr>
              <w:t>specifikācij</w:t>
            </w:r>
            <w:r>
              <w:rPr>
                <w:rFonts w:ascii="Arial" w:hAnsi="Arial" w:cs="Arial"/>
                <w:sz w:val="20"/>
                <w:szCs w:val="20"/>
              </w:rPr>
              <w:t>as izstrādi</w:t>
            </w:r>
            <w:r w:rsidR="007D24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D2478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="007D2478">
              <w:rPr>
                <w:rFonts w:ascii="Arial" w:hAnsi="Arial" w:cs="Arial"/>
                <w:sz w:val="20"/>
                <w:szCs w:val="20"/>
              </w:rPr>
              <w:t xml:space="preserve"> izstrādes procesa vadību, tai skaitā </w:t>
            </w:r>
            <w:proofErr w:type="spellStart"/>
            <w:r w:rsidR="007D2478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="007D2478">
              <w:rPr>
                <w:rFonts w:ascii="Arial" w:hAnsi="Arial" w:cs="Arial"/>
                <w:sz w:val="20"/>
                <w:szCs w:val="20"/>
              </w:rPr>
              <w:t xml:space="preserve"> uzraudzību un novērtēšanu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012FDF" w14:textId="4E0CCB1A" w:rsidR="006475D2" w:rsidRPr="007E3403" w:rsidRDefault="007E3403" w:rsidP="00801702">
            <w:pPr>
              <w:numPr>
                <w:ilvl w:val="0"/>
                <w:numId w:val="1"/>
              </w:numPr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40A7C">
              <w:rPr>
                <w:rFonts w:ascii="Arial" w:hAnsi="Arial" w:cs="Arial"/>
                <w:sz w:val="20"/>
                <w:szCs w:val="20"/>
              </w:rPr>
              <w:t>nstitūcijas</w:t>
            </w:r>
            <w:r>
              <w:rPr>
                <w:rFonts w:ascii="Arial" w:hAnsi="Arial" w:cs="Arial"/>
                <w:sz w:val="20"/>
                <w:szCs w:val="20"/>
              </w:rPr>
              <w:t xml:space="preserve"> savos nosacījumos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izstrādei nereti iekļauj nepamatoti detalizētas prasības, kuru izpilde paildzina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saskaņošanas procesu; </w:t>
            </w:r>
          </w:p>
          <w:p w14:paraId="79EAE48E" w14:textId="10D86DB6" w:rsidR="009E7DE7" w:rsidRPr="00040A7C" w:rsidRDefault="009E7DE7" w:rsidP="00801702">
            <w:pPr>
              <w:numPr>
                <w:ilvl w:val="0"/>
                <w:numId w:val="1"/>
              </w:numPr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40A7C">
              <w:rPr>
                <w:rFonts w:ascii="Arial" w:hAnsi="Arial" w:cs="Arial"/>
                <w:sz w:val="20"/>
                <w:szCs w:val="20"/>
              </w:rPr>
              <w:t>abiedrības iesaist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izstrādē bieži ir vienveidīga, uzsvaru liekot uz</w:t>
            </w:r>
            <w:r w:rsidRPr="00040A7C">
              <w:rPr>
                <w:rFonts w:ascii="Arial" w:hAnsi="Arial" w:cs="Arial"/>
                <w:sz w:val="20"/>
                <w:szCs w:val="20"/>
              </w:rPr>
              <w:t xml:space="preserve"> sanāksm</w:t>
            </w:r>
            <w:r>
              <w:rPr>
                <w:rFonts w:ascii="Arial" w:hAnsi="Arial" w:cs="Arial"/>
                <w:sz w:val="20"/>
                <w:szCs w:val="20"/>
              </w:rPr>
              <w:t xml:space="preserve">ēm, </w:t>
            </w:r>
            <w:r w:rsidRPr="00040A7C">
              <w:rPr>
                <w:rFonts w:ascii="Arial" w:hAnsi="Arial" w:cs="Arial"/>
                <w:sz w:val="20"/>
                <w:szCs w:val="20"/>
              </w:rPr>
              <w:t xml:space="preserve">kas ne vienmēr veido noturīgu sabiedrības </w:t>
            </w:r>
            <w:r>
              <w:rPr>
                <w:rFonts w:ascii="Arial" w:hAnsi="Arial" w:cs="Arial"/>
                <w:sz w:val="20"/>
                <w:szCs w:val="20"/>
              </w:rPr>
              <w:t xml:space="preserve">līdzdalību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izstrādē un īstenošanā </w:t>
            </w:r>
            <w:r w:rsidRPr="00040A7C">
              <w:rPr>
                <w:rFonts w:ascii="Arial" w:hAnsi="Arial" w:cs="Arial"/>
                <w:sz w:val="20"/>
                <w:szCs w:val="20"/>
              </w:rPr>
              <w:t>ilgtermiņā;</w:t>
            </w:r>
          </w:p>
          <w:p w14:paraId="5129852F" w14:textId="2325E70A" w:rsidR="007D2478" w:rsidRDefault="00B94F79" w:rsidP="00801702">
            <w:pPr>
              <w:numPr>
                <w:ilvl w:val="0"/>
                <w:numId w:val="1"/>
              </w:numPr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pašvaldību ieskatā </w:t>
            </w:r>
            <w:proofErr w:type="spellStart"/>
            <w:r w:rsidRPr="00040A7C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40A7C">
              <w:rPr>
                <w:rFonts w:ascii="Arial" w:hAnsi="Arial" w:cs="Arial"/>
                <w:sz w:val="20"/>
                <w:szCs w:val="20"/>
              </w:rPr>
              <w:t xml:space="preserve"> izstrādes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, iegūstot un analizējot nepieciešamos datus, ir </w:t>
            </w:r>
            <w:r w:rsidR="003B2057">
              <w:rPr>
                <w:rFonts w:ascii="Arial" w:hAnsi="Arial" w:cs="Arial"/>
                <w:sz w:val="20"/>
                <w:szCs w:val="20"/>
              </w:rPr>
              <w:t xml:space="preserve">ilgs. Tas  jāņem vērā, plānojot </w:t>
            </w:r>
            <w:r>
              <w:rPr>
                <w:rFonts w:ascii="Arial" w:hAnsi="Arial" w:cs="Arial"/>
                <w:sz w:val="20"/>
                <w:szCs w:val="20"/>
              </w:rPr>
              <w:t xml:space="preserve">citu pašvaldības dokumentu izstrādi. Turklāt </w:t>
            </w:r>
            <w:r w:rsidR="007D2478">
              <w:rPr>
                <w:rFonts w:ascii="Arial" w:hAnsi="Arial" w:cs="Arial"/>
                <w:sz w:val="20"/>
                <w:szCs w:val="20"/>
              </w:rPr>
              <w:t xml:space="preserve">ir </w:t>
            </w:r>
            <w:r>
              <w:rPr>
                <w:rFonts w:ascii="Arial" w:hAnsi="Arial" w:cs="Arial"/>
                <w:sz w:val="20"/>
                <w:szCs w:val="20"/>
              </w:rPr>
              <w:t xml:space="preserve">jārēķinās ar datu </w:t>
            </w:r>
            <w:r w:rsidRPr="00040A7C">
              <w:rPr>
                <w:rFonts w:ascii="Arial" w:hAnsi="Arial" w:cs="Arial"/>
                <w:sz w:val="20"/>
                <w:szCs w:val="20"/>
              </w:rPr>
              <w:t>aktualitātes zaudēšan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D2478">
              <w:rPr>
                <w:rFonts w:ascii="Arial" w:hAnsi="Arial" w:cs="Arial"/>
                <w:sz w:val="20"/>
                <w:szCs w:val="20"/>
              </w:rPr>
              <w:t xml:space="preserve"> un resursu nepieciešamību datu atjaunošanai;</w:t>
            </w:r>
          </w:p>
          <w:p w14:paraId="7EC0A28B" w14:textId="56AFFD8E" w:rsidR="00B94F79" w:rsidRDefault="007D2478" w:rsidP="00801702">
            <w:pPr>
              <w:numPr>
                <w:ilvl w:val="0"/>
                <w:numId w:val="1"/>
              </w:numPr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A7C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40A7C">
              <w:rPr>
                <w:rFonts w:ascii="Arial" w:hAnsi="Arial" w:cs="Arial"/>
                <w:sz w:val="20"/>
                <w:szCs w:val="20"/>
              </w:rPr>
              <w:t xml:space="preserve"> dažkārt 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403">
              <w:rPr>
                <w:rFonts w:ascii="Arial" w:hAnsi="Arial" w:cs="Arial"/>
                <w:sz w:val="20"/>
                <w:szCs w:val="20"/>
              </w:rPr>
              <w:t>ļoti</w:t>
            </w:r>
            <w:r w:rsidRPr="00040A7C">
              <w:rPr>
                <w:rFonts w:ascii="Arial" w:hAnsi="Arial" w:cs="Arial"/>
                <w:sz w:val="20"/>
                <w:szCs w:val="20"/>
              </w:rPr>
              <w:t xml:space="preserve"> detalizēti</w:t>
            </w:r>
            <w:r w:rsidR="003B2057">
              <w:rPr>
                <w:rFonts w:ascii="Arial" w:hAnsi="Arial" w:cs="Arial"/>
                <w:sz w:val="20"/>
                <w:szCs w:val="20"/>
              </w:rPr>
              <w:t>.</w:t>
            </w:r>
            <w:r w:rsidR="007E3403">
              <w:rPr>
                <w:rFonts w:ascii="Arial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>aikam ejot,</w:t>
            </w:r>
            <w:r w:rsidRPr="00040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403">
              <w:rPr>
                <w:rFonts w:ascii="Arial" w:hAnsi="Arial" w:cs="Arial"/>
                <w:sz w:val="20"/>
                <w:szCs w:val="20"/>
              </w:rPr>
              <w:t xml:space="preserve">pašvaldības un sabiedrības </w:t>
            </w:r>
            <w:r w:rsidR="003B2057">
              <w:rPr>
                <w:rFonts w:ascii="Arial" w:hAnsi="Arial" w:cs="Arial"/>
                <w:sz w:val="20"/>
                <w:szCs w:val="20"/>
              </w:rPr>
              <w:t xml:space="preserve">vajadzības un izpratne, piemēram, dizaina jomā, </w:t>
            </w:r>
            <w:r w:rsidR="007E3403">
              <w:rPr>
                <w:rFonts w:ascii="Arial" w:hAnsi="Arial" w:cs="Arial"/>
                <w:sz w:val="20"/>
                <w:szCs w:val="20"/>
              </w:rPr>
              <w:t>var mainīties</w:t>
            </w:r>
            <w:r w:rsidR="003B2057">
              <w:rPr>
                <w:rFonts w:ascii="Arial" w:hAnsi="Arial" w:cs="Arial"/>
                <w:sz w:val="20"/>
                <w:szCs w:val="20"/>
              </w:rPr>
              <w:t>. Līdz</w:t>
            </w:r>
            <w:r w:rsidR="007E3403">
              <w:rPr>
                <w:rFonts w:ascii="Arial" w:hAnsi="Arial" w:cs="Arial"/>
                <w:sz w:val="20"/>
                <w:szCs w:val="20"/>
              </w:rPr>
              <w:t xml:space="preserve"> ar to </w:t>
            </w:r>
            <w:r w:rsidR="003B2057">
              <w:rPr>
                <w:rFonts w:ascii="Arial" w:hAnsi="Arial" w:cs="Arial"/>
                <w:sz w:val="20"/>
                <w:szCs w:val="20"/>
              </w:rPr>
              <w:t xml:space="preserve">detalizēti izplānotie </w:t>
            </w:r>
            <w:proofErr w:type="spellStart"/>
            <w:r w:rsidR="007E3403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="007E3403">
              <w:rPr>
                <w:rFonts w:ascii="Arial" w:hAnsi="Arial" w:cs="Arial"/>
                <w:sz w:val="20"/>
                <w:szCs w:val="20"/>
              </w:rPr>
              <w:t xml:space="preserve"> risinājum</w:t>
            </w:r>
            <w:r w:rsidR="003B205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E3403">
              <w:rPr>
                <w:rFonts w:ascii="Arial" w:hAnsi="Arial" w:cs="Arial"/>
                <w:sz w:val="20"/>
                <w:szCs w:val="20"/>
              </w:rPr>
              <w:t xml:space="preserve">var </w:t>
            </w:r>
            <w:r w:rsidR="00137F53">
              <w:rPr>
                <w:rFonts w:ascii="Arial" w:hAnsi="Arial" w:cs="Arial"/>
                <w:sz w:val="20"/>
                <w:szCs w:val="20"/>
              </w:rPr>
              <w:t>zaudēt aktualitāti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2CE9304" w14:textId="77777777" w:rsidR="009E7DE7" w:rsidRDefault="009E7DE7" w:rsidP="00137F53">
            <w:pPr>
              <w:ind w:left="207"/>
              <w:rPr>
                <w:rFonts w:ascii="Arial" w:hAnsi="Arial" w:cs="Arial"/>
                <w:sz w:val="20"/>
                <w:szCs w:val="20"/>
              </w:rPr>
            </w:pPr>
          </w:p>
          <w:p w14:paraId="2B5275BC" w14:textId="77777777" w:rsidR="006F56DC" w:rsidRPr="00040A7C" w:rsidRDefault="006F56DC" w:rsidP="000D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6DC" w:rsidRPr="006263AB" w14:paraId="16067637" w14:textId="77777777" w:rsidTr="00BA2BB6">
        <w:tc>
          <w:tcPr>
            <w:tcW w:w="9855" w:type="dxa"/>
            <w:shd w:val="clear" w:color="auto" w:fill="F2F2F2" w:themeFill="background1" w:themeFillShade="F2"/>
          </w:tcPr>
          <w:p w14:paraId="3ECB3D96" w14:textId="77777777" w:rsidR="006F56DC" w:rsidRPr="009B1FA1" w:rsidRDefault="006F56DC" w:rsidP="00BA2BB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9B1FA1">
              <w:rPr>
                <w:rFonts w:ascii="Arial" w:hAnsi="Arial" w:cs="Arial"/>
                <w:b/>
                <w:bCs/>
                <w:caps/>
                <w:color w:val="808080"/>
                <w:sz w:val="22"/>
                <w:szCs w:val="22"/>
              </w:rPr>
              <w:t>iespējas</w:t>
            </w:r>
          </w:p>
        </w:tc>
      </w:tr>
      <w:tr w:rsidR="006F56DC" w:rsidRPr="006263AB" w14:paraId="16134E58" w14:textId="77777777" w:rsidTr="00BA2BB6">
        <w:tc>
          <w:tcPr>
            <w:tcW w:w="9855" w:type="dxa"/>
            <w:shd w:val="clear" w:color="auto" w:fill="auto"/>
          </w:tcPr>
          <w:p w14:paraId="7EA3EB83" w14:textId="77777777" w:rsidR="00137F53" w:rsidRPr="000D1425" w:rsidRDefault="00137F53" w:rsidP="000D142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8739372" w14:textId="28C8E158" w:rsidR="00137F53" w:rsidRPr="000D1425" w:rsidRDefault="00137F53" w:rsidP="008017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 xml:space="preserve">Lēmumā par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izstrādi norādīt konkrētus mērķus, pašvaldības un iedzīvotāju ieguvumus, kā arī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9DF" w:rsidRPr="000D1425">
              <w:rPr>
                <w:rFonts w:ascii="Arial" w:hAnsi="Arial" w:cs="Arial"/>
                <w:sz w:val="20"/>
                <w:szCs w:val="20"/>
              </w:rPr>
              <w:t xml:space="preserve">derīguma termiņu, </w:t>
            </w:r>
            <w:r w:rsidRPr="000D1425">
              <w:rPr>
                <w:rFonts w:ascii="Arial" w:hAnsi="Arial" w:cs="Arial"/>
                <w:sz w:val="20"/>
                <w:szCs w:val="20"/>
              </w:rPr>
              <w:t>novērtēšanas un datu aktualizēšanas kārtību</w:t>
            </w:r>
            <w:r w:rsidR="004F49DF" w:rsidRPr="000D142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izstrādes darba uzdevumā iekļaut </w:t>
            </w:r>
            <w:r w:rsidR="001770B0">
              <w:rPr>
                <w:rFonts w:ascii="Arial" w:hAnsi="Arial" w:cs="Arial"/>
                <w:sz w:val="20"/>
                <w:szCs w:val="20"/>
              </w:rPr>
              <w:t xml:space="preserve">arī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struktūras raksturojumu, norādot, kuras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sadaļas nepieciešamas sagatavot: vai tikai informatīvo daļu, vai konceptuālus risinājumus, vai vadlīnijas risinājumu integrēšanai citos dokumentos, vai konkrētus priekšlikumus saistošajiem dokumentiem, piemēram, teritorijas izmantošanas un apbūves noteikumiem. </w:t>
            </w:r>
            <w:r w:rsidR="000D1425" w:rsidRPr="000D1425">
              <w:rPr>
                <w:rFonts w:ascii="Arial" w:hAnsi="Arial" w:cs="Arial"/>
                <w:sz w:val="20"/>
                <w:szCs w:val="20"/>
              </w:rPr>
              <w:t xml:space="preserve">Ja nepieciešams, </w:t>
            </w:r>
            <w:proofErr w:type="spellStart"/>
            <w:r w:rsidR="00EA7CB4"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="00EA7CB4" w:rsidRPr="000D1425">
              <w:rPr>
                <w:rFonts w:ascii="Arial" w:hAnsi="Arial" w:cs="Arial"/>
                <w:sz w:val="20"/>
                <w:szCs w:val="20"/>
              </w:rPr>
              <w:t xml:space="preserve"> izstrādes darba uzdevumā paredzēt </w:t>
            </w:r>
            <w:proofErr w:type="spellStart"/>
            <w:r w:rsidR="00EA7CB4"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="00EA7CB4" w:rsidRPr="000D1425">
              <w:rPr>
                <w:rFonts w:ascii="Arial" w:hAnsi="Arial" w:cs="Arial"/>
                <w:sz w:val="20"/>
                <w:szCs w:val="20"/>
              </w:rPr>
              <w:t xml:space="preserve"> īstenošanu kārtās, augstu detalizāciju paredz</w:t>
            </w:r>
            <w:r w:rsidR="000D1425" w:rsidRPr="000D1425">
              <w:rPr>
                <w:rFonts w:ascii="Arial" w:hAnsi="Arial" w:cs="Arial"/>
                <w:sz w:val="20"/>
                <w:szCs w:val="20"/>
              </w:rPr>
              <w:t xml:space="preserve">ot </w:t>
            </w:r>
            <w:r w:rsidR="00EA7CB4" w:rsidRPr="000D1425">
              <w:rPr>
                <w:rFonts w:ascii="Arial" w:hAnsi="Arial" w:cs="Arial"/>
                <w:sz w:val="20"/>
                <w:szCs w:val="20"/>
              </w:rPr>
              <w:t xml:space="preserve">tikai </w:t>
            </w:r>
            <w:proofErr w:type="spellStart"/>
            <w:r w:rsidR="00EA7CB4"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="00EA7CB4" w:rsidRPr="000D1425">
              <w:rPr>
                <w:rFonts w:ascii="Arial" w:hAnsi="Arial" w:cs="Arial"/>
                <w:sz w:val="20"/>
                <w:szCs w:val="20"/>
              </w:rPr>
              <w:t xml:space="preserve"> īstenošanas prioritārajām kārtām</w:t>
            </w:r>
            <w:r w:rsidR="000D1425" w:rsidRPr="000D14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55DE61" w14:textId="6AF51734" w:rsidR="000D1425" w:rsidRPr="000D1425" w:rsidRDefault="000312F9" w:rsidP="008017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 xml:space="preserve">Nolūkā nodrošināt efektīvu sabiedrības iesaisti, vēlams veikt sabiedrības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mērķgupu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kartēšanu un viedokļu līderu identificēšanu, lai sadarbībā ar sabiedrisko attiecību speciālistu atlasītu katrai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mērķgrupai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atbilstošākos sabiedrības līdzdalības veidus</w:t>
            </w:r>
            <w:r w:rsidR="00EA7CB4" w:rsidRPr="000D1425">
              <w:rPr>
                <w:rFonts w:ascii="Arial" w:hAnsi="Arial" w:cs="Arial"/>
                <w:sz w:val="20"/>
                <w:szCs w:val="20"/>
              </w:rPr>
              <w:t xml:space="preserve"> un noteiktu </w:t>
            </w:r>
            <w:proofErr w:type="spellStart"/>
            <w:r w:rsidR="00EA7CB4" w:rsidRPr="000D1425">
              <w:rPr>
                <w:rFonts w:ascii="Arial" w:hAnsi="Arial" w:cs="Arial"/>
                <w:sz w:val="20"/>
                <w:szCs w:val="20"/>
              </w:rPr>
              <w:t>mērķgrupas</w:t>
            </w:r>
            <w:proofErr w:type="spellEnd"/>
            <w:r w:rsidR="00EA7CB4" w:rsidRPr="000D1425">
              <w:rPr>
                <w:rFonts w:ascii="Arial" w:hAnsi="Arial" w:cs="Arial"/>
                <w:sz w:val="20"/>
                <w:szCs w:val="20"/>
              </w:rPr>
              <w:t>, kuras ir nepieciešams vienkārši informēt.</w:t>
            </w:r>
            <w:r w:rsidRPr="000D1425">
              <w:rPr>
                <w:rFonts w:ascii="Arial" w:hAnsi="Arial" w:cs="Arial"/>
                <w:sz w:val="20"/>
                <w:szCs w:val="20"/>
              </w:rPr>
              <w:t xml:space="preserve"> Sabiedrību vēlams i</w:t>
            </w:r>
            <w:r w:rsidR="00137F53" w:rsidRPr="000D1425">
              <w:rPr>
                <w:rFonts w:ascii="Arial" w:hAnsi="Arial" w:cs="Arial"/>
                <w:sz w:val="20"/>
                <w:szCs w:val="20"/>
              </w:rPr>
              <w:t>esaistīt jau pašā plānošanas sākumposmā, izmantojot elastīgas</w:t>
            </w:r>
            <w:r w:rsidR="00EA7CB4" w:rsidRPr="000D142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 w:rsidR="00137F53" w:rsidRPr="000D1425">
              <w:rPr>
                <w:rFonts w:ascii="Arial" w:hAnsi="Arial" w:cs="Arial"/>
                <w:sz w:val="20"/>
                <w:szCs w:val="20"/>
              </w:rPr>
              <w:t xml:space="preserve">rosinošas sabiedrības iesaistes formas, piemēram, kopīgu teritorijas izpēti, </w:t>
            </w:r>
            <w:proofErr w:type="spellStart"/>
            <w:r w:rsidR="00137F53" w:rsidRPr="000D1425">
              <w:rPr>
                <w:rFonts w:ascii="Arial" w:hAnsi="Arial" w:cs="Arial"/>
                <w:sz w:val="20"/>
                <w:szCs w:val="20"/>
              </w:rPr>
              <w:t>īsfimas</w:t>
            </w:r>
            <w:proofErr w:type="spellEnd"/>
            <w:r w:rsidR="00137F53" w:rsidRPr="000D1425">
              <w:rPr>
                <w:rFonts w:ascii="Arial" w:hAnsi="Arial" w:cs="Arial"/>
                <w:sz w:val="20"/>
                <w:szCs w:val="20"/>
              </w:rPr>
              <w:t>, digitālas plānošanas vietnes</w:t>
            </w:r>
            <w:r w:rsidR="00EA7CB4" w:rsidRPr="000D1425">
              <w:rPr>
                <w:rFonts w:ascii="Arial" w:hAnsi="Arial" w:cs="Arial"/>
                <w:sz w:val="20"/>
                <w:szCs w:val="20"/>
              </w:rPr>
              <w:t>, iedzīvotāju padomes</w:t>
            </w:r>
            <w:r w:rsidR="00137F53" w:rsidRPr="000D142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4F27B79" w14:textId="073E41E6" w:rsidR="004F49DF" w:rsidRPr="000D1425" w:rsidRDefault="004F49DF" w:rsidP="008017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lastRenderedPageBreak/>
              <w:t>TemPl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plānotās darbības fokusēt uz pašvaldības kompetenci.</w:t>
            </w:r>
            <w:r w:rsidR="00EA7CB4" w:rsidRPr="000D1425">
              <w:rPr>
                <w:rFonts w:ascii="Arial" w:hAnsi="Arial" w:cs="Arial"/>
                <w:sz w:val="20"/>
                <w:szCs w:val="20"/>
              </w:rPr>
              <w:t xml:space="preserve"> Tomēr jau darbību plānošanas sākumposmā nepieciešams iesaistīt kompetentās institūcijas, organizējot kopīgas darba grupas. </w:t>
            </w:r>
          </w:p>
          <w:p w14:paraId="2E95FF13" w14:textId="77777777" w:rsidR="004F49DF" w:rsidRPr="000D1425" w:rsidRDefault="004F49DF" w:rsidP="008017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 xml:space="preserve">Finanšu resursu taupības nolūkā apsvērt iespējas vienas tēmas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izstrādi veikt vairākām pašvaldībām vienlaikus. Tas ļautu pretendēt uz finansiālu atbalstu no starptautiskām programmām, kuru apguvē vislielākā pieredze ir plānošanas reģioniem. </w:t>
            </w:r>
          </w:p>
          <w:p w14:paraId="25138209" w14:textId="0813FB24" w:rsidR="00EA7CB4" w:rsidRPr="000D1425" w:rsidRDefault="00EA7CB4" w:rsidP="008017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 xml:space="preserve">VARAM veikt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juridiskā spēka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izvērtējumu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, izvērtējot iespēju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struktūrā iekļaut arī saistošo sadaļu vai rādītājus, kurus var integrēt saistošajos attīstības plānošanas dokumentos bez papildus sabiedriskās apspriešanas. Precizēt normatīvo regulējumu par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darbības laika, aktualizēšanas un novērtēšanas noteikšanu. </w:t>
            </w:r>
          </w:p>
          <w:p w14:paraId="78705128" w14:textId="77777777" w:rsidR="00EA7CB4" w:rsidRPr="000D1425" w:rsidRDefault="00EA7CB4" w:rsidP="0080170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425">
              <w:rPr>
                <w:rFonts w:ascii="Arial" w:hAnsi="Arial" w:cs="Arial"/>
                <w:sz w:val="20"/>
                <w:szCs w:val="20"/>
              </w:rPr>
              <w:t xml:space="preserve">Sagatavot dažādām </w:t>
            </w:r>
            <w:proofErr w:type="spellStart"/>
            <w:r w:rsidRPr="000D1425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0D1425">
              <w:rPr>
                <w:rFonts w:ascii="Arial" w:hAnsi="Arial" w:cs="Arial"/>
                <w:sz w:val="20"/>
                <w:szCs w:val="20"/>
              </w:rPr>
              <w:t xml:space="preserve"> tēmām veltītas vadlīnijas ar labās prakses piemēriem, kā arī organizēt izglītojošus pasākumus pašvaldībām, ekspertiem un valsts institūcijām.</w:t>
            </w:r>
          </w:p>
          <w:p w14:paraId="55F794C6" w14:textId="77777777" w:rsidR="006F56DC" w:rsidRPr="00FA44FD" w:rsidRDefault="006F56DC" w:rsidP="00EA7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6DC" w:rsidRPr="006263AB" w14:paraId="123224E2" w14:textId="77777777" w:rsidTr="00BA2BB6">
        <w:tc>
          <w:tcPr>
            <w:tcW w:w="9855" w:type="dxa"/>
            <w:shd w:val="clear" w:color="auto" w:fill="F2F2F2" w:themeFill="background1" w:themeFillShade="F2"/>
          </w:tcPr>
          <w:p w14:paraId="7DB13459" w14:textId="77777777" w:rsidR="006F56DC" w:rsidRPr="006263AB" w:rsidRDefault="006F56DC" w:rsidP="00BA2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3AB">
              <w:rPr>
                <w:rFonts w:ascii="Arial" w:hAnsi="Arial" w:cs="Arial"/>
                <w:b/>
                <w:bCs/>
                <w:caps/>
                <w:color w:val="808080"/>
                <w:sz w:val="22"/>
                <w:szCs w:val="22"/>
              </w:rPr>
              <w:lastRenderedPageBreak/>
              <w:t>draudi</w:t>
            </w:r>
          </w:p>
        </w:tc>
      </w:tr>
      <w:tr w:rsidR="006F56DC" w:rsidRPr="006263AB" w14:paraId="50ED0ADE" w14:textId="77777777" w:rsidTr="00BA2BB6">
        <w:tc>
          <w:tcPr>
            <w:tcW w:w="9855" w:type="dxa"/>
            <w:shd w:val="clear" w:color="auto" w:fill="auto"/>
          </w:tcPr>
          <w:p w14:paraId="28BDB0D1" w14:textId="77777777" w:rsidR="006F56DC" w:rsidRDefault="006F56DC" w:rsidP="00BA2BB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0351D0B" w14:textId="307D5537" w:rsidR="006F56DC" w:rsidRPr="00327236" w:rsidRDefault="006F56DC" w:rsidP="0080170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1FFA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6D1FFA">
              <w:rPr>
                <w:rFonts w:ascii="Arial" w:hAnsi="Arial" w:cs="Arial"/>
                <w:sz w:val="20"/>
                <w:szCs w:val="20"/>
              </w:rPr>
              <w:t xml:space="preserve"> aizstāšana ar pētījumiem, kas </w:t>
            </w:r>
            <w:r>
              <w:rPr>
                <w:rFonts w:ascii="Arial" w:hAnsi="Arial" w:cs="Arial"/>
                <w:sz w:val="20"/>
                <w:szCs w:val="20"/>
              </w:rPr>
              <w:t>netiek</w:t>
            </w:r>
            <w:r w:rsidRPr="006D1FFA">
              <w:rPr>
                <w:rFonts w:ascii="Arial" w:hAnsi="Arial" w:cs="Arial"/>
                <w:sz w:val="20"/>
                <w:szCs w:val="20"/>
              </w:rPr>
              <w:t xml:space="preserve"> iekļauti </w:t>
            </w:r>
            <w:r>
              <w:rPr>
                <w:rFonts w:ascii="Arial" w:hAnsi="Arial" w:cs="Arial"/>
                <w:sz w:val="20"/>
                <w:szCs w:val="20"/>
              </w:rPr>
              <w:t xml:space="preserve">pašvaldības </w:t>
            </w:r>
            <w:r w:rsidRPr="006D1FFA">
              <w:rPr>
                <w:rFonts w:ascii="Arial" w:hAnsi="Arial" w:cs="Arial"/>
                <w:sz w:val="20"/>
                <w:szCs w:val="20"/>
              </w:rPr>
              <w:t>teritorijas attīstības plānošanas sistēmā</w:t>
            </w:r>
            <w:r>
              <w:rPr>
                <w:rFonts w:ascii="Arial" w:hAnsi="Arial" w:cs="Arial"/>
                <w:sz w:val="20"/>
                <w:szCs w:val="20"/>
              </w:rPr>
              <w:t xml:space="preserve"> un nav publiski pieejami;</w:t>
            </w:r>
          </w:p>
          <w:p w14:paraId="60A7DDAD" w14:textId="4C350541" w:rsidR="006F56DC" w:rsidRPr="00965E50" w:rsidRDefault="006F56DC" w:rsidP="0080170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1FFA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6D1FFA">
              <w:rPr>
                <w:rFonts w:ascii="Arial" w:hAnsi="Arial" w:cs="Arial"/>
                <w:sz w:val="20"/>
                <w:szCs w:val="20"/>
              </w:rPr>
              <w:t xml:space="preserve"> standartizēšana, “kopēšana”</w:t>
            </w:r>
            <w:r w:rsidR="001770B0">
              <w:rPr>
                <w:rFonts w:ascii="Arial" w:hAnsi="Arial" w:cs="Arial"/>
                <w:sz w:val="20"/>
                <w:szCs w:val="20"/>
              </w:rPr>
              <w:t>, neņemot vērā vietas īpatnības;</w:t>
            </w:r>
            <w:r w:rsidRPr="006D1F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F015E8" w14:textId="77777777" w:rsidR="006F56DC" w:rsidRPr="006D1FFA" w:rsidRDefault="006F56DC" w:rsidP="0080170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D1FFA"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 w:rsidRPr="006D1FFA">
              <w:rPr>
                <w:rFonts w:ascii="Arial" w:hAnsi="Arial" w:cs="Arial"/>
                <w:sz w:val="20"/>
                <w:szCs w:val="20"/>
              </w:rPr>
              <w:t xml:space="preserve"> izstrādes cenu paaugstināšanās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8539DF" w14:textId="3E7C97F0" w:rsidR="006F56DC" w:rsidRPr="006D1FFA" w:rsidRDefault="006F56DC" w:rsidP="0080170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D1FFA">
              <w:rPr>
                <w:rFonts w:ascii="Arial" w:hAnsi="Arial" w:cs="Arial"/>
                <w:sz w:val="20"/>
                <w:szCs w:val="20"/>
              </w:rPr>
              <w:t>irokrātiskā sloga palielināšanās, pilnveidojot normatīvo regulējumu</w:t>
            </w:r>
            <w:r>
              <w:rPr>
                <w:rFonts w:ascii="Arial" w:hAnsi="Arial" w:cs="Arial"/>
                <w:sz w:val="20"/>
                <w:szCs w:val="20"/>
              </w:rPr>
              <w:t xml:space="preserve"> attiecībā uz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izstrādi un </w:t>
            </w:r>
            <w:r w:rsidR="001770B0">
              <w:rPr>
                <w:rFonts w:ascii="Arial" w:hAnsi="Arial" w:cs="Arial"/>
                <w:sz w:val="20"/>
                <w:szCs w:val="20"/>
              </w:rPr>
              <w:t xml:space="preserve">izmantošanu. </w:t>
            </w:r>
          </w:p>
          <w:p w14:paraId="650A22FC" w14:textId="77777777" w:rsidR="006F56DC" w:rsidRPr="006263AB" w:rsidRDefault="006F56DC" w:rsidP="00BA2BB6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6C103" w14:textId="77777777" w:rsidR="006F56DC" w:rsidRPr="00040A7C" w:rsidRDefault="006F56DC" w:rsidP="006F56DC">
      <w:pPr>
        <w:rPr>
          <w:sz w:val="22"/>
          <w:szCs w:val="22"/>
        </w:rPr>
      </w:pPr>
      <w:r>
        <w:t xml:space="preserve"> </w:t>
      </w:r>
    </w:p>
    <w:p w14:paraId="53E76C2D" w14:textId="7A153028" w:rsidR="006F56DC" w:rsidRDefault="006F56DC" w:rsidP="006F56DC"/>
    <w:sectPr w:rsidR="006F56DC" w:rsidSect="00801702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55C21" w14:textId="77777777" w:rsidR="00A51F6A" w:rsidRDefault="00A51F6A" w:rsidP="00801702">
      <w:r>
        <w:separator/>
      </w:r>
    </w:p>
  </w:endnote>
  <w:endnote w:type="continuationSeparator" w:id="0">
    <w:p w14:paraId="048B8A56" w14:textId="77777777" w:rsidR="00A51F6A" w:rsidRDefault="00A51F6A" w:rsidP="0080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5248066"/>
      <w:docPartObj>
        <w:docPartGallery w:val="Page Numbers (Bottom of Page)"/>
        <w:docPartUnique/>
      </w:docPartObj>
    </w:sdtPr>
    <w:sdtContent>
      <w:p w14:paraId="615B2F5D" w14:textId="45D4C030" w:rsidR="00801702" w:rsidRDefault="00801702" w:rsidP="002C2F8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B6DD78" w14:textId="77777777" w:rsidR="00801702" w:rsidRDefault="00801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32101778"/>
      <w:docPartObj>
        <w:docPartGallery w:val="Page Numbers (Bottom of Page)"/>
        <w:docPartUnique/>
      </w:docPartObj>
    </w:sdtPr>
    <w:sdtContent>
      <w:p w14:paraId="26BD848A" w14:textId="1B721D46" w:rsidR="00801702" w:rsidRDefault="00801702" w:rsidP="002C2F8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9471356" w14:textId="77777777" w:rsidR="00801702" w:rsidRDefault="00801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AEF8" w14:textId="77777777" w:rsidR="00A51F6A" w:rsidRDefault="00A51F6A" w:rsidP="00801702">
      <w:r>
        <w:separator/>
      </w:r>
    </w:p>
  </w:footnote>
  <w:footnote w:type="continuationSeparator" w:id="0">
    <w:p w14:paraId="603E8003" w14:textId="77777777" w:rsidR="00A51F6A" w:rsidRDefault="00A51F6A" w:rsidP="0080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391E"/>
    <w:multiLevelType w:val="hybridMultilevel"/>
    <w:tmpl w:val="B50ADE4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730FC"/>
    <w:multiLevelType w:val="hybridMultilevel"/>
    <w:tmpl w:val="F404CC8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004C6D"/>
    <w:multiLevelType w:val="hybridMultilevel"/>
    <w:tmpl w:val="CE845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4B1F"/>
    <w:multiLevelType w:val="hybridMultilevel"/>
    <w:tmpl w:val="2F2E3C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61630"/>
    <w:multiLevelType w:val="hybridMultilevel"/>
    <w:tmpl w:val="D0B6594C"/>
    <w:lvl w:ilvl="0" w:tplc="08090005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7DFF6763"/>
    <w:multiLevelType w:val="hybridMultilevel"/>
    <w:tmpl w:val="3E46587E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03968200">
    <w:abstractNumId w:val="0"/>
  </w:num>
  <w:num w:numId="2" w16cid:durableId="782725985">
    <w:abstractNumId w:val="2"/>
  </w:num>
  <w:num w:numId="3" w16cid:durableId="1118067683">
    <w:abstractNumId w:val="1"/>
  </w:num>
  <w:num w:numId="4" w16cid:durableId="1072432020">
    <w:abstractNumId w:val="4"/>
  </w:num>
  <w:num w:numId="5" w16cid:durableId="1580554679">
    <w:abstractNumId w:val="5"/>
  </w:num>
  <w:num w:numId="6" w16cid:durableId="170461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DC"/>
    <w:rsid w:val="000312F9"/>
    <w:rsid w:val="000D1425"/>
    <w:rsid w:val="00137F53"/>
    <w:rsid w:val="00151875"/>
    <w:rsid w:val="001770B0"/>
    <w:rsid w:val="00307C3B"/>
    <w:rsid w:val="003B2057"/>
    <w:rsid w:val="004F49DF"/>
    <w:rsid w:val="006475D2"/>
    <w:rsid w:val="006F56DC"/>
    <w:rsid w:val="0073007E"/>
    <w:rsid w:val="007D2478"/>
    <w:rsid w:val="007E3403"/>
    <w:rsid w:val="00801702"/>
    <w:rsid w:val="009E7DE7"/>
    <w:rsid w:val="00A21327"/>
    <w:rsid w:val="00A5001C"/>
    <w:rsid w:val="00A51F6A"/>
    <w:rsid w:val="00A92354"/>
    <w:rsid w:val="00B41E12"/>
    <w:rsid w:val="00B94F79"/>
    <w:rsid w:val="00C53221"/>
    <w:rsid w:val="00E44FC8"/>
    <w:rsid w:val="00EA7CB4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D7901B"/>
  <w15:chartTrackingRefBased/>
  <w15:docId w15:val="{067D5BDA-208D-F043-BBB4-3458E00B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6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6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6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6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6D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6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6DC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6DC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6DC"/>
    <w:rPr>
      <w:rFonts w:eastAsiaTheme="majorEastAsia" w:cstheme="majorBidi"/>
      <w:color w:val="2F5496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6DC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6DC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6DC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6DC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6F56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6DC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6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6DC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6F56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6DC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6F5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6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6DC"/>
    <w:rPr>
      <w:i/>
      <w:iCs/>
      <w:color w:val="2F5496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6F56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6F56DC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6F5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6D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6DC"/>
    <w:rPr>
      <w:rFonts w:ascii="Times New Roman" w:eastAsia="Times New Roman" w:hAnsi="Times New Roman" w:cs="Times New Roman"/>
      <w:kern w:val="0"/>
      <w:sz w:val="20"/>
      <w:szCs w:val="2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1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702"/>
    <w:rPr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80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D3ED15BC299664399E2D3C105435F1C" ma:contentTypeVersion="18" ma:contentTypeDescription="Izveidot jaunu dokumentu." ma:contentTypeScope="" ma:versionID="802a13430d7cbf2dec2320290ca716a2">
  <xsd:schema xmlns:xsd="http://www.w3.org/2001/XMLSchema" xmlns:xs="http://www.w3.org/2001/XMLSchema" xmlns:p="http://schemas.microsoft.com/office/2006/metadata/properties" xmlns:ns2="60686a28-206e-40ba-a490-d2cdfca46c0c" xmlns:ns3="4dcb3448-f0e0-4369-8617-a51b8d6cee36" targetNamespace="http://schemas.microsoft.com/office/2006/metadata/properties" ma:root="true" ma:fieldsID="436ce2db4510bfdc7ce61cdafa7b75a0" ns2:_="" ns3:_="">
    <xsd:import namespace="60686a28-206e-40ba-a490-d2cdfca46c0c"/>
    <xsd:import namespace="4dcb3448-f0e0-4369-8617-a51b8d6ce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86a28-206e-40ba-a490-d2cdfca46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b3448-f0e0-4369-8617-a51b8d6ce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719444-0d2f-4846-b8f3-8c9131ddaaeb}" ma:internalName="TaxCatchAll" ma:showField="CatchAllData" ma:web="4dcb3448-f0e0-4369-8617-a51b8d6ce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b3448-f0e0-4369-8617-a51b8d6cee36" xsi:nil="true"/>
    <lcf76f155ced4ddcb4097134ff3c332f xmlns="60686a28-206e-40ba-a490-d2cdfca46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C6CA3-688D-4137-9CA4-9B53D2529886}"/>
</file>

<file path=customXml/itemProps2.xml><?xml version="1.0" encoding="utf-8"?>
<ds:datastoreItem xmlns:ds="http://schemas.openxmlformats.org/officeDocument/2006/customXml" ds:itemID="{CB0EF6FC-4215-45B5-976D-E92513AE7E8D}"/>
</file>

<file path=customXml/itemProps3.xml><?xml version="1.0" encoding="utf-8"?>
<ds:datastoreItem xmlns:ds="http://schemas.openxmlformats.org/officeDocument/2006/customXml" ds:itemID="{DD533A48-6775-4BA8-9144-29D5E90BC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Granta</dc:creator>
  <cp:keywords/>
  <dc:description/>
  <cp:lastModifiedBy>Dace Granta</cp:lastModifiedBy>
  <cp:revision>3</cp:revision>
  <dcterms:created xsi:type="dcterms:W3CDTF">2025-03-03T08:33:00Z</dcterms:created>
  <dcterms:modified xsi:type="dcterms:W3CDTF">2025-03-03T13:44:00Z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0x010100DD3ED15BC299664399E2D3C105435F1C</vt:lpwstr>
  </property>
</Properties>
</file>