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C04C" w14:textId="77777777" w:rsidR="00BB259A" w:rsidRDefault="00BB259A" w:rsidP="00BB259A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  <w:r w:rsidRPr="005B2890">
        <w:rPr>
          <w:rFonts w:eastAsia="Times New Roman" w:cstheme="minorHAnsi"/>
          <w:color w:val="414142"/>
          <w:lang w:eastAsia="lv-LV"/>
        </w:rPr>
        <w:t>3.pielikums</w:t>
      </w:r>
      <w:r w:rsidRPr="005B2890">
        <w:rPr>
          <w:rFonts w:eastAsia="Times New Roman" w:cstheme="minorHAnsi"/>
          <w:color w:val="414142"/>
          <w:lang w:eastAsia="lv-LV"/>
        </w:rPr>
        <w:br/>
        <w:t>Ministru kabineta</w:t>
      </w:r>
      <w:r w:rsidRPr="005B2890">
        <w:rPr>
          <w:rFonts w:eastAsia="Times New Roman" w:cstheme="minorHAnsi"/>
          <w:color w:val="414142"/>
          <w:lang w:eastAsia="lv-LV"/>
        </w:rPr>
        <w:br/>
        <w:t>2013.gada 3.janvāra noteikumiem Nr.1</w:t>
      </w:r>
      <w:bookmarkStart w:id="0" w:name="piel-457311"/>
      <w:bookmarkEnd w:id="0"/>
    </w:p>
    <w:p w14:paraId="2B35241D" w14:textId="77777777" w:rsidR="00BB259A" w:rsidRPr="005B2890" w:rsidRDefault="00BB259A" w:rsidP="00BB259A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</w:p>
    <w:tbl>
      <w:tblPr>
        <w:tblW w:w="300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1"/>
        <w:gridCol w:w="2722"/>
      </w:tblGrid>
      <w:tr w:rsidR="00BB259A" w:rsidRPr="005B2890" w14:paraId="7219195D" w14:textId="77777777" w:rsidTr="00853E4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B733CB" w14:textId="77777777" w:rsidR="00BB259A" w:rsidRPr="005B2890" w:rsidRDefault="00BB259A" w:rsidP="00853E41">
            <w:pPr>
              <w:spacing w:before="100" w:beforeAutospacing="1" w:after="100" w:afterAutospacing="1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4AC29E" w14:textId="655922A3" w:rsidR="00BB259A" w:rsidRPr="005B2890" w:rsidRDefault="009039E8" w:rsidP="00336A30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Latvijas valsts tiešās pārvaldes komunikācijas izvērtējums</w:t>
            </w:r>
            <w:r w:rsidR="00DB439D">
              <w:rPr>
                <w:rFonts w:eastAsia="Times New Roman" w:cstheme="minorHAnsi"/>
                <w:color w:val="414142"/>
                <w:lang w:eastAsia="lv-LV"/>
              </w:rPr>
              <w:t>. Kopsavilkuma ziņojums.</w:t>
            </w:r>
          </w:p>
        </w:tc>
      </w:tr>
      <w:tr w:rsidR="00BB259A" w:rsidRPr="005B2890" w14:paraId="0F2F14D9" w14:textId="77777777" w:rsidTr="00853E4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EEE94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3779F82" w14:textId="77777777" w:rsidR="00BB259A" w:rsidRPr="005B2890" w:rsidRDefault="00BB259A" w:rsidP="00853E41">
            <w:pPr>
              <w:spacing w:before="100" w:beforeAutospacing="1" w:after="100" w:afterAutospacing="1" w:line="293" w:lineRule="atLeast"/>
              <w:jc w:val="center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(pētījuma nosaukums)</w:t>
            </w:r>
          </w:p>
        </w:tc>
      </w:tr>
    </w:tbl>
    <w:p w14:paraId="1C3F7B69" w14:textId="77777777" w:rsidR="00BB259A" w:rsidRPr="005B2890" w:rsidRDefault="00BB259A" w:rsidP="00BB259A">
      <w:pPr>
        <w:spacing w:before="100" w:beforeAutospacing="1" w:after="100" w:afterAutospacing="1" w:line="293" w:lineRule="atLeast"/>
        <w:rPr>
          <w:rFonts w:eastAsia="Times New Roman" w:cstheme="minorHAnsi"/>
          <w:color w:val="414142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3"/>
        <w:gridCol w:w="3984"/>
        <w:gridCol w:w="4528"/>
      </w:tblGrid>
      <w:tr w:rsidR="00BB259A" w:rsidRPr="005B2890" w14:paraId="05027BC5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5EC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color w:val="414142"/>
                <w:lang w:eastAsia="lv-LV"/>
              </w:rPr>
            </w:pPr>
            <w:r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Pētījuma mērķis, uzdevumi un galvenie rezultāti latviešu valodā </w:t>
            </w:r>
          </w:p>
          <w:p w14:paraId="6F973BCB" w14:textId="77777777" w:rsidR="00CA5E68" w:rsidRDefault="00090D47" w:rsidP="00384E64">
            <w:pPr>
              <w:jc w:val="both"/>
            </w:pPr>
            <w:r>
              <w:t>Pētījumā s</w:t>
            </w:r>
            <w:r w:rsidR="00BA03A7" w:rsidRPr="00C830D6">
              <w:t>istēmiski izvērtēt</w:t>
            </w:r>
            <w:r>
              <w:t>a</w:t>
            </w:r>
            <w:r w:rsidR="00BA03A7" w:rsidRPr="00C830D6">
              <w:t xml:space="preserve"> valsts </w:t>
            </w:r>
            <w:r w:rsidR="00384E64">
              <w:t xml:space="preserve">tiešās </w:t>
            </w:r>
            <w:r>
              <w:t xml:space="preserve">pārvaldes komunikācijas  </w:t>
            </w:r>
            <w:proofErr w:type="spellStart"/>
            <w:r>
              <w:t>institucionalizācija</w:t>
            </w:r>
            <w:proofErr w:type="spellEnd"/>
            <w:r w:rsidR="00BA03A7">
              <w:t xml:space="preserve"> </w:t>
            </w:r>
            <w:r>
              <w:t xml:space="preserve">un </w:t>
            </w:r>
            <w:r w:rsidR="00BA03A7" w:rsidRPr="00C830D6">
              <w:t>kapacitāt</w:t>
            </w:r>
            <w:r>
              <w:t xml:space="preserve">e. </w:t>
            </w:r>
          </w:p>
          <w:p w14:paraId="01178338" w14:textId="6C66C0F0" w:rsidR="00DB5806" w:rsidRPr="005B2890" w:rsidRDefault="007711EA" w:rsidP="007711EA">
            <w:pPr>
              <w:spacing w:after="0" w:line="240" w:lineRule="auto"/>
              <w:jc w:val="both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</w:t>
            </w:r>
            <w:r w:rsidR="00CA5E68" w:rsidRPr="00CA5E68">
              <w:rPr>
                <w:rFonts w:eastAsia="Times New Roman" w:cstheme="minorHAnsi"/>
                <w:color w:val="414142"/>
                <w:lang w:eastAsia="lv-LV"/>
              </w:rPr>
              <w:t xml:space="preserve">alsts līmenī 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nepieciešams skaidrāk </w:t>
            </w:r>
            <w:r w:rsidR="00CA5E68" w:rsidRPr="00CA5E68">
              <w:rPr>
                <w:rFonts w:eastAsia="Times New Roman" w:cstheme="minorHAnsi"/>
                <w:color w:val="414142"/>
                <w:lang w:eastAsia="lv-LV"/>
              </w:rPr>
              <w:t>definēt komunikācijas funkcijas darbības mandāt</w:t>
            </w:r>
            <w:r>
              <w:rPr>
                <w:rFonts w:eastAsia="Times New Roman" w:cstheme="minorHAnsi"/>
                <w:color w:val="414142"/>
                <w:lang w:eastAsia="lv-LV"/>
              </w:rPr>
              <w:t>u</w:t>
            </w:r>
            <w:r w:rsidR="00763E4D">
              <w:rPr>
                <w:rFonts w:eastAsia="Times New Roman" w:cstheme="minorHAnsi"/>
                <w:color w:val="414142"/>
                <w:lang w:eastAsia="lv-LV"/>
              </w:rPr>
              <w:t xml:space="preserve"> un rīcībpolitikas ietvar</w:t>
            </w:r>
            <w:r>
              <w:rPr>
                <w:rFonts w:eastAsia="Times New Roman" w:cstheme="minorHAnsi"/>
                <w:color w:val="414142"/>
                <w:lang w:eastAsia="lv-LV"/>
              </w:rPr>
              <w:t>u</w:t>
            </w:r>
            <w:r w:rsidR="00763E4D">
              <w:rPr>
                <w:rFonts w:eastAsia="Times New Roman" w:cstheme="minorHAnsi"/>
                <w:color w:val="414142"/>
                <w:lang w:eastAsia="lv-LV"/>
              </w:rPr>
              <w:t>.</w:t>
            </w:r>
            <w:r w:rsidR="00CA5E68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Nepieciešams stiprināt  </w:t>
            </w:r>
            <w:r w:rsidRPr="007711EA">
              <w:rPr>
                <w:rFonts w:eastAsia="Times New Roman" w:cstheme="minorHAnsi"/>
                <w:color w:val="414142"/>
                <w:lang w:eastAsia="lv-LV"/>
              </w:rPr>
              <w:t>komunikācijas speciālistu iesaisti stratēģiskajā lēmumu pieņemšanā, stratēģiskās plānošanas praksi un piekļuvi cilvēkresursiem, tehniskajiem un finanšu resursiem.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 w:rsidRPr="007711EA">
              <w:rPr>
                <w:rFonts w:eastAsia="Times New Roman" w:cstheme="minorHAnsi"/>
                <w:color w:val="414142"/>
                <w:lang w:eastAsia="lv-LV"/>
              </w:rPr>
              <w:t xml:space="preserve">Komunikācijas funkcijas iespējošana stratēģiskā līmenī sniegtu būtisku pienesumu efektīvai pārvaldei, īpaši, ja komunikācija tiktu pozicionētas kā būtiska valsts pārvaldes 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rīcībpolitikas </w:t>
            </w:r>
            <w:r w:rsidRPr="007711EA">
              <w:rPr>
                <w:rFonts w:eastAsia="Times New Roman" w:cstheme="minorHAnsi"/>
                <w:color w:val="414142"/>
                <w:lang w:eastAsia="lv-LV"/>
              </w:rPr>
              <w:t>sastāvdaļa, nevis atbalsta funkcija</w:t>
            </w:r>
            <w:r>
              <w:rPr>
                <w:rFonts w:eastAsia="Times New Roman" w:cstheme="minorHAnsi"/>
                <w:color w:val="414142"/>
                <w:lang w:eastAsia="lv-LV"/>
              </w:rPr>
              <w:t>.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119EB5" w14:textId="3C925554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</w:p>
        </w:tc>
      </w:tr>
      <w:tr w:rsidR="00BB259A" w:rsidRPr="005B2890" w14:paraId="662B63F6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52F6E1" w14:textId="72421C10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Galvenās pētījumā aplūkotās tēmas</w:t>
            </w:r>
          </w:p>
          <w:p w14:paraId="48D5E610" w14:textId="55AE6C0A" w:rsidR="00BB259A" w:rsidRPr="008C629F" w:rsidRDefault="0021163E" w:rsidP="00CA5E68">
            <w:pPr>
              <w:spacing w:after="0" w:line="240" w:lineRule="auto"/>
              <w:jc w:val="both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Latvijas valsts tiešās pārvaldes komunikācijas sistēmisks izvērtējums: k</w:t>
            </w:r>
            <w:r w:rsidR="00983E1B">
              <w:rPr>
                <w:rFonts w:eastAsia="Times New Roman" w:cstheme="minorHAnsi"/>
                <w:color w:val="414142"/>
                <w:lang w:eastAsia="lv-LV"/>
              </w:rPr>
              <w:t xml:space="preserve">omunikācijas funkcijas </w:t>
            </w:r>
            <w:proofErr w:type="spellStart"/>
            <w:r w:rsidR="00983E1B">
              <w:rPr>
                <w:rFonts w:eastAsia="Times New Roman" w:cstheme="minorHAnsi"/>
                <w:color w:val="414142"/>
                <w:lang w:eastAsia="lv-LV"/>
              </w:rPr>
              <w:t>institucionalizācija</w:t>
            </w:r>
            <w:proofErr w:type="spellEnd"/>
            <w:r w:rsidR="00983E1B">
              <w:rPr>
                <w:rFonts w:eastAsia="Times New Roman" w:cstheme="minorHAnsi"/>
                <w:color w:val="414142"/>
                <w:lang w:eastAsia="lv-LV"/>
              </w:rPr>
              <w:t xml:space="preserve"> valsts tiešajā pārvaldē (komunikācijas mandāts</w:t>
            </w:r>
            <w:r w:rsidR="00B47BD8">
              <w:rPr>
                <w:rFonts w:eastAsia="Times New Roman" w:cstheme="minorHAnsi"/>
                <w:color w:val="414142"/>
                <w:lang w:eastAsia="lv-LV"/>
              </w:rPr>
              <w:t xml:space="preserve">, 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vara, neatkarība, </w:t>
            </w:r>
            <w:r w:rsidR="00983E1B">
              <w:rPr>
                <w:rFonts w:eastAsia="Times New Roman" w:cstheme="minorHAnsi"/>
                <w:color w:val="414142"/>
                <w:lang w:eastAsia="lv-LV"/>
              </w:rPr>
              <w:t xml:space="preserve"> specializācija</w:t>
            </w:r>
            <w:r w:rsidR="00B47BD8">
              <w:rPr>
                <w:rFonts w:eastAsia="Times New Roman" w:cstheme="minorHAnsi"/>
                <w:color w:val="414142"/>
                <w:lang w:eastAsia="lv-LV"/>
              </w:rPr>
              <w:t xml:space="preserve">, </w:t>
            </w:r>
            <w:r w:rsidR="00384E64">
              <w:rPr>
                <w:rFonts w:eastAsia="Times New Roman" w:cstheme="minorHAnsi"/>
                <w:color w:val="414142"/>
                <w:lang w:eastAsia="lv-LV"/>
              </w:rPr>
              <w:t xml:space="preserve">profesionalizācija, </w:t>
            </w:r>
            <w:r w:rsidR="00B47BD8">
              <w:rPr>
                <w:rFonts w:eastAsia="Times New Roman" w:cstheme="minorHAnsi"/>
                <w:color w:val="414142"/>
                <w:lang w:eastAsia="lv-LV"/>
              </w:rPr>
              <w:t>prakse</w:t>
            </w:r>
            <w:r>
              <w:rPr>
                <w:rFonts w:eastAsia="Times New Roman" w:cstheme="minorHAnsi"/>
                <w:color w:val="414142"/>
                <w:lang w:eastAsia="lv-LV"/>
              </w:rPr>
              <w:t>s, resursi</w:t>
            </w:r>
            <w:r w:rsidR="00B47BD8">
              <w:rPr>
                <w:rFonts w:eastAsia="Times New Roman" w:cstheme="minorHAnsi"/>
                <w:color w:val="414142"/>
                <w:lang w:eastAsia="lv-LV"/>
              </w:rPr>
              <w:t xml:space="preserve"> u.c.)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414142"/>
                <w:lang w:eastAsia="lv-LV"/>
              </w:rPr>
              <w:t>institucionalizācijas</w:t>
            </w:r>
            <w:proofErr w:type="spellEnd"/>
            <w:r>
              <w:rPr>
                <w:rFonts w:eastAsia="Times New Roman" w:cstheme="minorHAnsi"/>
                <w:color w:val="414142"/>
                <w:lang w:eastAsia="lv-LV"/>
              </w:rPr>
              <w:t xml:space="preserve"> ietekme uz valsts pārvaldes komunikācijas kapacitāti (iestāžu, resoru, valsts līmenī). 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E7C2D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73F85A28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A6BFBE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pasūtītājs</w:t>
            </w:r>
          </w:p>
          <w:p w14:paraId="7D169AA9" w14:textId="180CB0F8" w:rsidR="00BB259A" w:rsidRPr="006C72F4" w:rsidRDefault="00983E1B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</w:t>
            </w:r>
            <w:r w:rsidR="00BB259A" w:rsidRPr="006C72F4">
              <w:rPr>
                <w:rFonts w:eastAsia="Times New Roman" w:cstheme="minorHAnsi"/>
                <w:color w:val="414142"/>
                <w:lang w:eastAsia="lv-LV"/>
              </w:rPr>
              <w:t>eja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83FE6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4B608DE9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A79730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īstenotājs</w:t>
            </w:r>
          </w:p>
          <w:p w14:paraId="4D5FBA38" w14:textId="2CD28CAD" w:rsidR="00BB259A" w:rsidRPr="006C72F4" w:rsidRDefault="00B47BD8" w:rsidP="00066CC7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L</w:t>
            </w:r>
            <w:r w:rsidR="00763E4D">
              <w:rPr>
                <w:rFonts w:eastAsia="Times New Roman" w:cstheme="minorHAnsi"/>
                <w:color w:val="414142"/>
                <w:lang w:eastAsia="lv-LV"/>
              </w:rPr>
              <w:t>atvijas Universitāte, Vidzemes A</w:t>
            </w:r>
            <w:r>
              <w:rPr>
                <w:rFonts w:eastAsia="Times New Roman" w:cstheme="minorHAnsi"/>
                <w:color w:val="414142"/>
                <w:lang w:eastAsia="lv-LV"/>
              </w:rPr>
              <w:t>ugstskola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77CF8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2BD02A90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30FBD6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īstenošanas gads</w:t>
            </w:r>
          </w:p>
          <w:p w14:paraId="3C3A1290" w14:textId="31E74729" w:rsidR="00BB259A" w:rsidRPr="006C72F4" w:rsidRDefault="00527D8D" w:rsidP="00521123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2023/</w:t>
            </w:r>
            <w:r w:rsidR="00BB259A">
              <w:rPr>
                <w:rFonts w:eastAsia="Times New Roman" w:cstheme="minorHAnsi"/>
                <w:color w:val="414142"/>
                <w:lang w:eastAsia="lv-LV"/>
              </w:rPr>
              <w:t>202</w:t>
            </w:r>
            <w:r w:rsidR="00521123">
              <w:rPr>
                <w:rFonts w:eastAsia="Times New Roman" w:cstheme="minorHAnsi"/>
                <w:color w:val="414142"/>
                <w:lang w:eastAsia="lv-LV"/>
              </w:rPr>
              <w:t>4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E705A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5CD56058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FDA2D0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finansēšanas summa un finansēšanas avots</w:t>
            </w:r>
          </w:p>
          <w:p w14:paraId="7C5BF0DB" w14:textId="0E78722C" w:rsidR="00BB259A" w:rsidRPr="009E1BE1" w:rsidRDefault="00F11A77" w:rsidP="00C77840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2E2A28">
              <w:t xml:space="preserve">82640,00 </w:t>
            </w:r>
            <w:r w:rsidR="00BB259A" w:rsidRPr="002E2A28">
              <w:t>EUR (bez PVN)</w:t>
            </w:r>
            <w:r w:rsidR="00BB259A" w:rsidRPr="002E2A28">
              <w:rPr>
                <w:rFonts w:eastAsia="Times New Roman" w:cstheme="minorHAnsi"/>
                <w:color w:val="414142"/>
                <w:lang w:eastAsia="lv-LV"/>
              </w:rPr>
              <w:t>, valsts budžets</w:t>
            </w:r>
            <w:r w:rsidR="002E2A28">
              <w:rPr>
                <w:rFonts w:eastAsia="Times New Roman" w:cstheme="minorHAnsi"/>
                <w:color w:val="414142"/>
                <w:lang w:eastAsia="lv-LV"/>
              </w:rPr>
              <w:t xml:space="preserve"> (minētas izmaksas par visu pētījuma pakalpojumu, tai skaitā kopsavilkuma ziņojumu)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3405F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</w:tr>
      <w:tr w:rsidR="00BB259A" w:rsidRPr="005B2890" w14:paraId="2AA2A054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E7FF8C" w14:textId="77777777" w:rsidR="00EC2866" w:rsidRDefault="00EC2866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>
              <w:rPr>
                <w:rFonts w:eastAsia="Times New Roman" w:cstheme="minorHAnsi"/>
                <w:b/>
                <w:bCs/>
                <w:color w:val="414142"/>
                <w:lang w:eastAsia="lv-LV"/>
              </w:rPr>
              <w:lastRenderedPageBreak/>
              <w:t>Pētījuma klasifikācija</w:t>
            </w:r>
          </w:p>
          <w:p w14:paraId="5D457186" w14:textId="37C1BAA9" w:rsidR="00BB259A" w:rsidRPr="00EC2866" w:rsidRDefault="00BB259A" w:rsidP="00C77840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210AA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60D1FDB0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ED936D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Politikas joma, nozare**</w:t>
            </w:r>
          </w:p>
          <w:p w14:paraId="243D9F6E" w14:textId="77777777" w:rsidR="00BB259A" w:rsidRPr="00C62E3F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Publiskās pārvaldes politika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1A08D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3330415B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FE4431" w14:textId="401AC683" w:rsidR="00BB259A" w:rsidRPr="005B2890" w:rsidRDefault="00F210B0" w:rsidP="00F210B0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</w:t>
            </w:r>
            <w:r w:rsidR="00BB259A"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 xml:space="preserve"> aptvērums</w:t>
            </w:r>
            <w:r w:rsidR="00BB259A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 xml:space="preserve"> </w:t>
            </w:r>
            <w:r w:rsidR="00BB259A"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>
              <w:rPr>
                <w:rFonts w:eastAsia="Times New Roman" w:cstheme="minorHAnsi"/>
                <w:color w:val="414142"/>
                <w:lang w:eastAsia="lv-LV"/>
              </w:rPr>
              <w:t>Valsts tiešā pārvalde (85 valsts tiešās pārvaldes institūcijas)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8B044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096DB82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481BEB" w14:textId="1BF35240" w:rsidR="00BB259A" w:rsidRPr="005B2890" w:rsidRDefault="00BB259A" w:rsidP="009039E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mērķa grupa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63FAB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F3DE58F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6FE29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53B46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1E85C98F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49C739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510C57FA" w14:textId="2A43D7BF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tiesību aktu vai politikas plānošanas dokumentu analīze</w:t>
            </w:r>
            <w:r w:rsidR="00F210B0">
              <w:rPr>
                <w:rFonts w:eastAsia="Times New Roman" w:cstheme="minorHAnsi"/>
                <w:color w:val="414142"/>
                <w:lang w:eastAsia="lv-LV"/>
              </w:rPr>
              <w:t xml:space="preserve"> X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97FB0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7D2D04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0D92252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AA81778" w14:textId="1E03A670" w:rsidR="00BB259A" w:rsidRPr="005B2890" w:rsidRDefault="00BB259A" w:rsidP="00F210B0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datu analīze</w:t>
            </w:r>
            <w:r w:rsidR="00F210B0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99295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03E7BA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D8D3B6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E2D2281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91964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272101B6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81AA46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71223BD0" w14:textId="4AEDF6DA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4) padziļināto/ekspertu interviju veikšana un analīze</w:t>
            </w:r>
            <w:r w:rsidR="00F210B0">
              <w:rPr>
                <w:rFonts w:eastAsia="Times New Roman" w:cstheme="minorHAnsi"/>
                <w:color w:val="414142"/>
                <w:lang w:eastAsia="lv-LV"/>
              </w:rPr>
              <w:t xml:space="preserve"> X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5D9B7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77C869F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84B7DC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43253341" w14:textId="2623E11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5) fokusa grupu diskusiju veikšana un analīze</w:t>
            </w:r>
            <w:r w:rsidR="00F210B0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2C170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34DD76A9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F4526C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AED6FCB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E68DD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6065075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2F1DF25C" w14:textId="77777777" w:rsidR="00BB259A" w:rsidRPr="00D02D9E" w:rsidRDefault="00BB259A" w:rsidP="00853E41">
            <w:pPr>
              <w:spacing w:after="0" w:line="240" w:lineRule="auto"/>
              <w:rPr>
                <w:rFonts w:eastAsia="Times New Roman" w:cstheme="minorHAnsi"/>
                <w:bCs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AE77968" w14:textId="77777777" w:rsidR="00BB259A" w:rsidRPr="00D02D9E" w:rsidRDefault="00BB259A" w:rsidP="00853E41">
            <w:pPr>
              <w:spacing w:after="0" w:line="240" w:lineRule="auto"/>
              <w:rPr>
                <w:rFonts w:eastAsia="Times New Roman" w:cstheme="minorHAnsi"/>
                <w:bCs/>
                <w:color w:val="414142"/>
                <w:lang w:eastAsia="lv-LV"/>
              </w:rPr>
            </w:pPr>
            <w:r w:rsidRPr="00D02D9E">
              <w:rPr>
                <w:rFonts w:eastAsia="Times New Roman" w:cstheme="minorHAnsi"/>
                <w:bCs/>
                <w:color w:val="414142"/>
                <w:lang w:eastAsia="lv-LV"/>
              </w:rPr>
              <w:t>7) kvantitatīvās aptaujas veikšana un datu analīze X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295749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E8A5ADB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B49502D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695A69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25ADD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DA86C8E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CC704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Kvantitatīvās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FC432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7E79085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7159716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F616DE5" w14:textId="74C05131" w:rsidR="00BB259A" w:rsidRPr="005B2890" w:rsidRDefault="00BB259A" w:rsidP="00424B7E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1) </w:t>
            </w:r>
            <w:r w:rsidRPr="00424B7E">
              <w:rPr>
                <w:rFonts w:eastAsia="Times New Roman" w:cstheme="minorHAnsi"/>
                <w:color w:val="414142"/>
                <w:lang w:eastAsia="lv-LV"/>
              </w:rPr>
              <w:t xml:space="preserve">aptaujas izlases metode </w:t>
            </w:r>
            <w:r w:rsidRPr="00424B7E">
              <w:rPr>
                <w:rFonts w:eastAsia="Times New Roman" w:cstheme="minorHAnsi"/>
                <w:bCs/>
                <w:color w:val="414142"/>
                <w:lang w:eastAsia="lv-LV"/>
              </w:rPr>
              <w:t xml:space="preserve">– </w:t>
            </w:r>
            <w:r w:rsidR="00424B7E">
              <w:rPr>
                <w:rFonts w:eastAsia="Times New Roman" w:cstheme="minorHAnsi"/>
                <w:bCs/>
                <w:color w:val="414142"/>
                <w:lang w:eastAsia="lv-LV"/>
              </w:rPr>
              <w:t>telefonintervijas (CAT</w:t>
            </w:r>
            <w:r w:rsidRPr="00424B7E">
              <w:rPr>
                <w:rFonts w:eastAsia="Times New Roman" w:cstheme="minorHAnsi"/>
                <w:bCs/>
                <w:color w:val="414142"/>
                <w:lang w:eastAsia="lv-LV"/>
              </w:rPr>
              <w:t>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C1911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D829807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9A0198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DFF45E0" w14:textId="68FD6755" w:rsidR="00BB259A" w:rsidRPr="005B2890" w:rsidRDefault="00BB259A" w:rsidP="00763E4D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aptaujāto/anketēto respondentu/vienību skait</w:t>
            </w:r>
            <w:r w:rsidRPr="00983E1B">
              <w:rPr>
                <w:rFonts w:eastAsia="Times New Roman" w:cstheme="minorHAnsi"/>
                <w:color w:val="414142"/>
                <w:lang w:eastAsia="lv-LV"/>
              </w:rPr>
              <w:t xml:space="preserve">s </w:t>
            </w:r>
            <w:r w:rsidR="00763E4D">
              <w:rPr>
                <w:rFonts w:eastAsia="Times New Roman" w:cstheme="minorHAnsi"/>
                <w:color w:val="414142"/>
                <w:lang w:eastAsia="lv-LV"/>
              </w:rPr>
              <w:t>76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287E5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45646CD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0F43F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Kvalitatīvās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B0666D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FFDB042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0CE7133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17D82E26" w14:textId="5E71F3E9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padziļināto/ekspertu interviju skaits (ja attiecināms)</w:t>
            </w:r>
            <w:r w:rsidR="00983E1B">
              <w:rPr>
                <w:rFonts w:eastAsia="Times New Roman" w:cstheme="minorHAnsi"/>
                <w:color w:val="414142"/>
                <w:lang w:eastAsia="lv-LV"/>
              </w:rPr>
              <w:t xml:space="preserve"> 46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6F182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D6A1C9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525FC0F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E7BDB7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A036F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2B9F932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D7ABC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E6438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0BDC8E27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99DAF1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pasūtītāja kontaktinformācija</w:t>
            </w:r>
          </w:p>
          <w:p w14:paraId="107118FC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kancelejas</w:t>
            </w:r>
          </w:p>
          <w:p w14:paraId="5DD82F52" w14:textId="6B6FC17E" w:rsidR="00BB259A" w:rsidRPr="009C0684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Stratēģiskās komunikācijas koordinācijas departament</w:t>
            </w:r>
            <w:r w:rsidR="00872D0F">
              <w:rPr>
                <w:rFonts w:eastAsia="Times New Roman" w:cstheme="minorHAnsi"/>
                <w:color w:val="414142"/>
                <w:lang w:eastAsia="lv-LV"/>
              </w:rPr>
              <w:t>s</w:t>
            </w:r>
            <w:r w:rsidR="00527D8D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9C4A5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1E958074" w14:textId="77777777" w:rsidTr="00853E41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461788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autori*** (autortiesību subjekti)</w:t>
            </w:r>
          </w:p>
          <w:p w14:paraId="47017A12" w14:textId="315A835C" w:rsidR="00BB259A" w:rsidRPr="009C0684" w:rsidRDefault="00527D8D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Latvijas Universitāte, Vidzemes augstskola</w:t>
            </w:r>
          </w:p>
        </w:tc>
        <w:tc>
          <w:tcPr>
            <w:tcW w:w="0" w:type="auto"/>
            <w:vAlign w:val="center"/>
            <w:hideMark/>
          </w:tcPr>
          <w:p w14:paraId="1EB4F13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</w:tr>
    </w:tbl>
    <w:p w14:paraId="686D9697" w14:textId="77777777" w:rsidR="00BB259A" w:rsidRDefault="00BB259A" w:rsidP="00BB259A"/>
    <w:p w14:paraId="28ED94D3" w14:textId="77777777" w:rsidR="00521E83" w:rsidRDefault="00521E83"/>
    <w:sectPr w:rsidR="00521E83" w:rsidSect="00DC2E89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9A"/>
    <w:rsid w:val="00044803"/>
    <w:rsid w:val="00065E17"/>
    <w:rsid w:val="00066CC7"/>
    <w:rsid w:val="00090D47"/>
    <w:rsid w:val="00095487"/>
    <w:rsid w:val="00150D02"/>
    <w:rsid w:val="0021163E"/>
    <w:rsid w:val="00242F0F"/>
    <w:rsid w:val="00262A91"/>
    <w:rsid w:val="0026316F"/>
    <w:rsid w:val="002B7644"/>
    <w:rsid w:val="002D242F"/>
    <w:rsid w:val="002E2A28"/>
    <w:rsid w:val="002F5AD0"/>
    <w:rsid w:val="003360EE"/>
    <w:rsid w:val="00336A30"/>
    <w:rsid w:val="00384E64"/>
    <w:rsid w:val="003C5DB8"/>
    <w:rsid w:val="00424B7E"/>
    <w:rsid w:val="00461FCE"/>
    <w:rsid w:val="004852DE"/>
    <w:rsid w:val="004A0C7F"/>
    <w:rsid w:val="00521123"/>
    <w:rsid w:val="00521E83"/>
    <w:rsid w:val="00527D8D"/>
    <w:rsid w:val="005534EA"/>
    <w:rsid w:val="006303D8"/>
    <w:rsid w:val="00716FAD"/>
    <w:rsid w:val="00763E4D"/>
    <w:rsid w:val="007711EA"/>
    <w:rsid w:val="00785ED1"/>
    <w:rsid w:val="00786410"/>
    <w:rsid w:val="00790C56"/>
    <w:rsid w:val="007D645C"/>
    <w:rsid w:val="008715BF"/>
    <w:rsid w:val="00872D0F"/>
    <w:rsid w:val="008C629F"/>
    <w:rsid w:val="009039E8"/>
    <w:rsid w:val="009230FD"/>
    <w:rsid w:val="009336A7"/>
    <w:rsid w:val="009413C3"/>
    <w:rsid w:val="009538F1"/>
    <w:rsid w:val="00983E1B"/>
    <w:rsid w:val="009C0AE3"/>
    <w:rsid w:val="00A75CE1"/>
    <w:rsid w:val="00AD3311"/>
    <w:rsid w:val="00B47BD8"/>
    <w:rsid w:val="00BA03A7"/>
    <w:rsid w:val="00BB259A"/>
    <w:rsid w:val="00C77840"/>
    <w:rsid w:val="00C85CFC"/>
    <w:rsid w:val="00CA5E68"/>
    <w:rsid w:val="00CC107B"/>
    <w:rsid w:val="00D02D9E"/>
    <w:rsid w:val="00D80E5C"/>
    <w:rsid w:val="00DB439D"/>
    <w:rsid w:val="00DB5806"/>
    <w:rsid w:val="00EC2866"/>
    <w:rsid w:val="00EC782E"/>
    <w:rsid w:val="00EF03A0"/>
    <w:rsid w:val="00F11A77"/>
    <w:rsid w:val="00F210B0"/>
    <w:rsid w:val="00F5370E"/>
    <w:rsid w:val="00F61C40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B760"/>
  <w15:chartTrackingRefBased/>
  <w15:docId w15:val="{4AFD16C3-8520-433F-B97F-A41CF056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9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11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A7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A77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7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Pučka</dc:creator>
  <cp:keywords/>
  <dc:description/>
  <cp:lastModifiedBy>Sanita Kalnača</cp:lastModifiedBy>
  <cp:revision>3</cp:revision>
  <dcterms:created xsi:type="dcterms:W3CDTF">2025-08-08T12:25:00Z</dcterms:created>
  <dcterms:modified xsi:type="dcterms:W3CDTF">2025-08-08T12:28:00Z</dcterms:modified>
</cp:coreProperties>
</file>