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A606" w14:textId="1B08921A" w:rsidR="00B37E42" w:rsidRPr="00844110" w:rsidRDefault="00E571C2" w:rsidP="00E571C2">
      <w:pPr>
        <w:spacing w:after="0" w:line="240" w:lineRule="auto"/>
        <w:jc w:val="center"/>
        <w:rPr>
          <w:rFonts w:eastAsia="Times New Roman" w:cstheme="minorHAnsi"/>
          <w:b/>
          <w:bCs/>
          <w:sz w:val="20"/>
          <w:szCs w:val="20"/>
          <w:lang w:val="lv-LV" w:eastAsia="en-GB"/>
        </w:rPr>
      </w:pPr>
      <w:proofErr w:type="spellStart"/>
      <w:r w:rsidRPr="00E571C2">
        <w:rPr>
          <w:rFonts w:eastAsia="Times New Roman" w:cstheme="minorHAnsi"/>
          <w:b/>
          <w:bCs/>
          <w:sz w:val="20"/>
          <w:szCs w:val="20"/>
          <w:lang w:eastAsia="en-GB"/>
        </w:rPr>
        <w:t>Anotācija</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pētījumam</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Sabiedriskās</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domas</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aptaujas</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pakalpojumi</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Finanšu</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izlūkošanas</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dienesta</w:t>
      </w:r>
      <w:proofErr w:type="spellEnd"/>
      <w:r w:rsidRPr="00E571C2">
        <w:rPr>
          <w:rFonts w:eastAsia="Times New Roman" w:cstheme="minorHAnsi"/>
          <w:b/>
          <w:bCs/>
          <w:sz w:val="20"/>
          <w:szCs w:val="20"/>
          <w:lang w:eastAsia="en-GB"/>
        </w:rPr>
        <w:t xml:space="preserve"> </w:t>
      </w:r>
      <w:proofErr w:type="spellStart"/>
      <w:r w:rsidRPr="00E571C2">
        <w:rPr>
          <w:rFonts w:eastAsia="Times New Roman" w:cstheme="minorHAnsi"/>
          <w:b/>
          <w:bCs/>
          <w:sz w:val="20"/>
          <w:szCs w:val="20"/>
          <w:lang w:eastAsia="en-GB"/>
        </w:rPr>
        <w:t>vajadzībām</w:t>
      </w:r>
      <w:proofErr w:type="spellEnd"/>
      <w:r w:rsidRPr="00E571C2">
        <w:rPr>
          <w:rFonts w:eastAsia="Times New Roman" w:cstheme="minorHAnsi"/>
          <w:b/>
          <w:bCs/>
          <w:sz w:val="20"/>
          <w:szCs w:val="20"/>
          <w:lang w:eastAsia="en-GB"/>
        </w:rPr>
        <w:t>”</w:t>
      </w:r>
      <w:r w:rsidR="00472897">
        <w:rPr>
          <w:rFonts w:eastAsia="Times New Roman" w:cstheme="minorHAnsi"/>
          <w:b/>
          <w:bCs/>
          <w:sz w:val="20"/>
          <w:szCs w:val="20"/>
          <w:lang w:val="lv-LV" w:eastAsia="en-GB"/>
        </w:rPr>
        <w:t>;</w:t>
      </w:r>
      <w:r w:rsidR="00082549" w:rsidRPr="00844110">
        <w:rPr>
          <w:rFonts w:eastAsia="Times New Roman" w:cstheme="minorHAnsi"/>
          <w:b/>
          <w:bCs/>
          <w:sz w:val="20"/>
          <w:szCs w:val="20"/>
          <w:lang w:val="lv-LV" w:eastAsia="en-GB"/>
        </w:rPr>
        <w:t xml:space="preserve"> </w:t>
      </w:r>
      <w:r w:rsidR="003E3CED">
        <w:rPr>
          <w:rFonts w:eastAsia="Times New Roman" w:cstheme="minorHAnsi"/>
          <w:b/>
          <w:bCs/>
          <w:sz w:val="20"/>
          <w:szCs w:val="20"/>
          <w:lang w:val="lv-LV" w:eastAsia="en-GB"/>
        </w:rPr>
        <w:t>(</w:t>
      </w:r>
      <w:r w:rsidR="00082549" w:rsidRPr="00844110">
        <w:rPr>
          <w:rFonts w:eastAsia="Times New Roman" w:cstheme="minorHAnsi"/>
          <w:b/>
          <w:bCs/>
          <w:sz w:val="20"/>
          <w:szCs w:val="20"/>
          <w:lang w:val="lv-LV" w:eastAsia="en-GB"/>
        </w:rPr>
        <w:t>ID</w:t>
      </w:r>
      <w:r w:rsidR="00082549" w:rsidRPr="00844110" w:rsidDel="00095622">
        <w:rPr>
          <w:rFonts w:eastAsia="Times New Roman" w:cstheme="minorHAnsi"/>
          <w:b/>
          <w:bCs/>
          <w:sz w:val="20"/>
          <w:szCs w:val="20"/>
          <w:lang w:val="lv-LV" w:eastAsia="en-GB"/>
        </w:rPr>
        <w:t xml:space="preserve"> Nr.</w:t>
      </w:r>
      <w:r w:rsidR="00472897" w:rsidRPr="00472897">
        <w:rPr>
          <w:rFonts w:eastAsia="Times New Roman" w:cstheme="minorHAnsi"/>
          <w:b/>
          <w:bCs/>
          <w:sz w:val="20"/>
          <w:szCs w:val="20"/>
          <w:lang w:val="lv-LV" w:eastAsia="en-GB"/>
        </w:rPr>
        <w:t xml:space="preserve"> </w:t>
      </w:r>
      <w:r>
        <w:rPr>
          <w:rFonts w:eastAsia="Times New Roman" w:cstheme="minorHAnsi"/>
          <w:b/>
          <w:bCs/>
          <w:sz w:val="20"/>
          <w:szCs w:val="20"/>
          <w:lang w:val="lv-LV" w:eastAsia="en-GB"/>
        </w:rPr>
        <w:t>FID</w:t>
      </w:r>
      <w:r w:rsidR="00472897" w:rsidRPr="00472897">
        <w:rPr>
          <w:rFonts w:eastAsia="Times New Roman" w:cstheme="minorHAnsi"/>
          <w:b/>
          <w:bCs/>
          <w:sz w:val="20"/>
          <w:szCs w:val="20"/>
          <w:lang w:val="lv-LV" w:eastAsia="en-GB"/>
        </w:rPr>
        <w:t xml:space="preserve"> 202</w:t>
      </w:r>
      <w:r>
        <w:rPr>
          <w:rFonts w:eastAsia="Times New Roman" w:cstheme="minorHAnsi"/>
          <w:b/>
          <w:bCs/>
          <w:sz w:val="20"/>
          <w:szCs w:val="20"/>
          <w:lang w:val="lv-LV" w:eastAsia="en-GB"/>
        </w:rPr>
        <w:t>5</w:t>
      </w:r>
      <w:r w:rsidR="003E3CED">
        <w:rPr>
          <w:rFonts w:eastAsia="Times New Roman" w:cstheme="minorHAnsi"/>
          <w:b/>
          <w:bCs/>
          <w:sz w:val="20"/>
          <w:szCs w:val="20"/>
          <w:lang w:val="lv-LV" w:eastAsia="en-GB"/>
        </w:rPr>
        <w:t>)</w:t>
      </w:r>
    </w:p>
    <w:p w14:paraId="3C2CECD8" w14:textId="77777777" w:rsidR="00A73B49" w:rsidRPr="00844110" w:rsidRDefault="00A73B49" w:rsidP="00A73B49">
      <w:pPr>
        <w:spacing w:after="0" w:line="240" w:lineRule="auto"/>
        <w:jc w:val="center"/>
        <w:rPr>
          <w:rFonts w:eastAsia="Times New Roman" w:cstheme="minorHAnsi"/>
          <w:sz w:val="19"/>
          <w:szCs w:val="19"/>
          <w:lang w:val="lv-LV" w:eastAsia="en-GB"/>
        </w:rPr>
      </w:pPr>
    </w:p>
    <w:tbl>
      <w:tblPr>
        <w:tblW w:w="5437"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812"/>
        <w:gridCol w:w="4985"/>
      </w:tblGrid>
      <w:tr w:rsidR="00A73B49" w:rsidRPr="00332275" w14:paraId="39314480" w14:textId="77777777" w:rsidTr="00E571C2">
        <w:trPr>
          <w:trHeight w:val="2650"/>
        </w:trPr>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7AA304B4" w14:textId="77777777" w:rsidR="0064188C" w:rsidRPr="0064188C" w:rsidRDefault="003E3CED" w:rsidP="0064188C">
            <w:p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 xml:space="preserve">Pētījuma mērķis ir iegūt reprezentatīvu un aktuālu informāciju par sabiedrības izpratnes līmeni un attieksmi pret finanšu noziegumiem, sabiedrības uzticēšanos Finanšu izlūkošanas dienestam un citām institūcijām, kas iesaistītas noziedzīgi iegūtu līdzekļu legalizācijas (NILL) novēršanas sistēmā, kā arī noskaidrot iedzīvotāju uzskatus par finanšu pakalpojumu izvēli ārvalstīs un </w:t>
            </w:r>
            <w:proofErr w:type="spellStart"/>
            <w:r w:rsidRPr="0064188C">
              <w:rPr>
                <w:rFonts w:eastAsia="Times New Roman" w:cstheme="minorHAnsi"/>
                <w:sz w:val="19"/>
                <w:szCs w:val="19"/>
                <w:bdr w:val="none" w:sz="0" w:space="0" w:color="auto" w:frame="1"/>
                <w:lang w:val="lv-LV" w:eastAsia="en-GB"/>
              </w:rPr>
              <w:t>kriptovalūtas</w:t>
            </w:r>
            <w:proofErr w:type="spellEnd"/>
            <w:r w:rsidRPr="0064188C">
              <w:rPr>
                <w:rFonts w:eastAsia="Times New Roman" w:cstheme="minorHAnsi"/>
                <w:sz w:val="19"/>
                <w:szCs w:val="19"/>
                <w:bdr w:val="none" w:sz="0" w:space="0" w:color="auto" w:frame="1"/>
                <w:lang w:val="lv-LV" w:eastAsia="en-GB"/>
              </w:rPr>
              <w:t xml:space="preserve"> izmantošanu. Pētījuma rezultāti tiks izmantoti, lai mērķtiecīgi plānotu iedzīvotāju izglītošanas un informēšanas aktivitātes NILL novēršanas jomā un stiprinātu sabiedrības uzticēšanos valsts institūcijām.</w:t>
            </w:r>
            <w:r w:rsidR="0064188C" w:rsidRPr="0064188C">
              <w:rPr>
                <w:rFonts w:eastAsia="Times New Roman" w:cstheme="minorHAnsi"/>
                <w:sz w:val="19"/>
                <w:szCs w:val="19"/>
                <w:bdr w:val="none" w:sz="0" w:space="0" w:color="auto" w:frame="1"/>
                <w:lang w:val="lv-LV" w:eastAsia="en-GB"/>
              </w:rPr>
              <w:t xml:space="preserve"> </w:t>
            </w:r>
          </w:p>
          <w:p w14:paraId="2D8087CB" w14:textId="5B58D9A9" w:rsidR="0064188C" w:rsidRPr="0064188C" w:rsidRDefault="0064188C" w:rsidP="0064188C">
            <w:p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Pētījuma rezultāti liecina, ka:</w:t>
            </w:r>
          </w:p>
          <w:p w14:paraId="36E63E01"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 xml:space="preserve">Latvijas iedzīvotāju vidū </w:t>
            </w:r>
            <w:r w:rsidRPr="0064188C">
              <w:rPr>
                <w:rFonts w:eastAsia="Times New Roman" w:cstheme="minorHAnsi"/>
                <w:b/>
                <w:bCs/>
                <w:sz w:val="19"/>
                <w:szCs w:val="19"/>
                <w:bdr w:val="none" w:sz="0" w:space="0" w:color="auto" w:frame="1"/>
                <w:lang w:val="lv-LV" w:eastAsia="en-GB"/>
              </w:rPr>
              <w:t>nedaudz pieaugusi gatavība iesaistīties finanšu pārkāpumos vai gūt labumu no tiem</w:t>
            </w:r>
            <w:r w:rsidRPr="0064188C">
              <w:rPr>
                <w:rFonts w:eastAsia="Times New Roman" w:cstheme="minorHAnsi"/>
                <w:sz w:val="19"/>
                <w:szCs w:val="19"/>
                <w:bdr w:val="none" w:sz="0" w:space="0" w:color="auto" w:frame="1"/>
                <w:lang w:val="lv-LV" w:eastAsia="en-GB"/>
              </w:rPr>
              <w:t>.</w:t>
            </w:r>
          </w:p>
          <w:p w14:paraId="39E57C3D"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Ievērojami pieaudzis to cilvēku skaits</w:t>
            </w:r>
            <w:r w:rsidRPr="0064188C">
              <w:rPr>
                <w:rFonts w:eastAsia="Times New Roman" w:cstheme="minorHAnsi"/>
                <w:sz w:val="19"/>
                <w:szCs w:val="19"/>
                <w:bdr w:val="none" w:sz="0" w:space="0" w:color="auto" w:frame="1"/>
                <w:lang w:val="lv-LV" w:eastAsia="en-GB"/>
              </w:rPr>
              <w:t>, kuri būtu gatavi ziņot par radiniekiem vai paziņām, ja tie iesaistīti sankciju pārkāpumos.</w:t>
            </w:r>
          </w:p>
          <w:p w14:paraId="33DBFBC4"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26% iedzīvotāju joprojām uzskata</w:t>
            </w:r>
            <w:r w:rsidRPr="0064188C">
              <w:rPr>
                <w:rFonts w:eastAsia="Times New Roman" w:cstheme="minorHAnsi"/>
                <w:sz w:val="19"/>
                <w:szCs w:val="19"/>
                <w:bdr w:val="none" w:sz="0" w:space="0" w:color="auto" w:frame="1"/>
                <w:lang w:val="lv-LV" w:eastAsia="en-GB"/>
              </w:rPr>
              <w:t>, ka naudas atmazgāšana notiek tikai caur komercbankām un citām finanšu iestādēm.</w:t>
            </w:r>
          </w:p>
          <w:p w14:paraId="19564C3F"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23% aptaujāto</w:t>
            </w:r>
            <w:r w:rsidRPr="0064188C">
              <w:rPr>
                <w:rFonts w:eastAsia="Times New Roman" w:cstheme="minorHAnsi"/>
                <w:sz w:val="19"/>
                <w:szCs w:val="19"/>
                <w:bdr w:val="none" w:sz="0" w:space="0" w:color="auto" w:frame="1"/>
                <w:lang w:val="lv-LV" w:eastAsia="en-GB"/>
              </w:rPr>
              <w:t xml:space="preserve"> piekrīt, ka viņus neietekmē uzņēmumu nodokļu nemaksāšana vai “aplokšņu algas”, savukārt </w:t>
            </w:r>
            <w:r w:rsidRPr="0064188C">
              <w:rPr>
                <w:rFonts w:eastAsia="Times New Roman" w:cstheme="minorHAnsi"/>
                <w:b/>
                <w:bCs/>
                <w:sz w:val="19"/>
                <w:szCs w:val="19"/>
                <w:bdr w:val="none" w:sz="0" w:space="0" w:color="auto" w:frame="1"/>
                <w:lang w:val="lv-LV" w:eastAsia="en-GB"/>
              </w:rPr>
              <w:t>69% nepiekrīt</w:t>
            </w:r>
            <w:r w:rsidRPr="0064188C">
              <w:rPr>
                <w:rFonts w:eastAsia="Times New Roman" w:cstheme="minorHAnsi"/>
                <w:sz w:val="19"/>
                <w:szCs w:val="19"/>
                <w:bdr w:val="none" w:sz="0" w:space="0" w:color="auto" w:frame="1"/>
                <w:lang w:val="lv-LV" w:eastAsia="en-GB"/>
              </w:rPr>
              <w:t>.</w:t>
            </w:r>
          </w:p>
          <w:p w14:paraId="1EB7CFA6"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18%</w:t>
            </w:r>
            <w:r w:rsidRPr="0064188C">
              <w:rPr>
                <w:rFonts w:eastAsia="Times New Roman" w:cstheme="minorHAnsi"/>
                <w:sz w:val="19"/>
                <w:szCs w:val="19"/>
                <w:bdr w:val="none" w:sz="0" w:space="0" w:color="auto" w:frame="1"/>
                <w:lang w:val="lv-LV" w:eastAsia="en-GB"/>
              </w:rPr>
              <w:t xml:space="preserve"> iedzīvotāju atzīst, ka paši vai ģimenes loceklis neapzināti varētu būt iesaistīts naudas atmazgāšanā.</w:t>
            </w:r>
          </w:p>
          <w:p w14:paraId="0CA5E714"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 xml:space="preserve">Sabiedrība </w:t>
            </w:r>
            <w:r w:rsidRPr="0064188C">
              <w:rPr>
                <w:rFonts w:eastAsia="Times New Roman" w:cstheme="minorHAnsi"/>
                <w:b/>
                <w:bCs/>
                <w:sz w:val="19"/>
                <w:szCs w:val="19"/>
                <w:bdr w:val="none" w:sz="0" w:space="0" w:color="auto" w:frame="1"/>
                <w:lang w:val="lv-LV" w:eastAsia="en-GB"/>
              </w:rPr>
              <w:t>augstāk nekā pērn</w:t>
            </w:r>
            <w:r w:rsidRPr="0064188C">
              <w:rPr>
                <w:rFonts w:eastAsia="Times New Roman" w:cstheme="minorHAnsi"/>
                <w:sz w:val="19"/>
                <w:szCs w:val="19"/>
                <w:bdr w:val="none" w:sz="0" w:space="0" w:color="auto" w:frame="1"/>
                <w:lang w:val="lv-LV" w:eastAsia="en-GB"/>
              </w:rPr>
              <w:t xml:space="preserve"> vērtē jauniešu un senioru risku neapzināti iesaistīties naudas atmazgāšanā.</w:t>
            </w:r>
          </w:p>
          <w:p w14:paraId="539EA096"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Atbalsts cīņai ar NILL</w:t>
            </w:r>
            <w:r w:rsidRPr="0064188C">
              <w:rPr>
                <w:rFonts w:eastAsia="Times New Roman" w:cstheme="minorHAnsi"/>
                <w:sz w:val="19"/>
                <w:szCs w:val="19"/>
                <w:bdr w:val="none" w:sz="0" w:space="0" w:color="auto" w:frame="1"/>
                <w:lang w:val="lv-LV" w:eastAsia="en-GB"/>
              </w:rPr>
              <w:t xml:space="preserve"> saglabājas augsts un turpina pieaugt.</w:t>
            </w:r>
          </w:p>
          <w:p w14:paraId="07838EC9"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Lielākā daļa iedzīvotāju par pārkāpumiem uzskata, ja:</w:t>
            </w:r>
          </w:p>
          <w:p w14:paraId="5D0964E6" w14:textId="77777777" w:rsidR="0064188C" w:rsidRPr="0064188C" w:rsidRDefault="0064188C" w:rsidP="0064188C">
            <w:pPr>
              <w:numPr>
                <w:ilvl w:val="1"/>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Uz personas vārda tiek reģistrēts uzņēmums, kurā viņš nepiedalās;</w:t>
            </w:r>
          </w:p>
          <w:p w14:paraId="4C70A804" w14:textId="77777777" w:rsidR="0064188C" w:rsidRPr="0064188C" w:rsidRDefault="0064188C" w:rsidP="0064188C">
            <w:pPr>
              <w:numPr>
                <w:ilvl w:val="1"/>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Uz viņa kontu pārskaita naudu un persona to izņem, atdodot skaidrā naudā;</w:t>
            </w:r>
          </w:p>
          <w:p w14:paraId="18EA80D7" w14:textId="77777777" w:rsidR="0064188C" w:rsidRPr="0064188C" w:rsidRDefault="0064188C" w:rsidP="0064188C">
            <w:pPr>
              <w:numPr>
                <w:ilvl w:val="1"/>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Persona iegādājas preces no sankcijām pakļauta uzņēmuma;</w:t>
            </w:r>
          </w:p>
          <w:p w14:paraId="775D7458" w14:textId="77777777" w:rsidR="0064188C" w:rsidRPr="0064188C" w:rsidRDefault="0064188C" w:rsidP="0064188C">
            <w:pPr>
              <w:numPr>
                <w:ilvl w:val="1"/>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Citiem tiek dota pieeja savam kontam.</w:t>
            </w:r>
          </w:p>
          <w:p w14:paraId="574555AB"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Vairāk nekā divas trešdaļas</w:t>
            </w:r>
            <w:r w:rsidRPr="0064188C">
              <w:rPr>
                <w:rFonts w:eastAsia="Times New Roman" w:cstheme="minorHAnsi"/>
                <w:sz w:val="19"/>
                <w:szCs w:val="19"/>
                <w:bdr w:val="none" w:sz="0" w:space="0" w:color="auto" w:frame="1"/>
                <w:lang w:val="lv-LV" w:eastAsia="en-GB"/>
              </w:rPr>
              <w:t xml:space="preserve"> iedzīvotāju uzskata, ka naudas atmazgāšana ir saistīta ar kontrabandu, nodokļu nemaksāšanu, narkotiku tirdzniecību, kukuļošanu, sankciju apiešanu un cilvēku tirdzniecību.</w:t>
            </w:r>
          </w:p>
          <w:p w14:paraId="19F46B26"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 xml:space="preserve">Sabiedrības priekšstats par </w:t>
            </w:r>
            <w:r w:rsidRPr="0064188C">
              <w:rPr>
                <w:rFonts w:eastAsia="Times New Roman" w:cstheme="minorHAnsi"/>
                <w:b/>
                <w:bCs/>
                <w:sz w:val="19"/>
                <w:szCs w:val="19"/>
                <w:bdr w:val="none" w:sz="0" w:space="0" w:color="auto" w:frame="1"/>
                <w:lang w:val="lv-LV" w:eastAsia="en-GB"/>
              </w:rPr>
              <w:t>FID darbu uzlabojies</w:t>
            </w:r>
            <w:r w:rsidRPr="0064188C">
              <w:rPr>
                <w:rFonts w:eastAsia="Times New Roman" w:cstheme="minorHAnsi"/>
                <w:sz w:val="19"/>
                <w:szCs w:val="19"/>
                <w:bdr w:val="none" w:sz="0" w:space="0" w:color="auto" w:frame="1"/>
                <w:lang w:val="lv-LV" w:eastAsia="en-GB"/>
              </w:rPr>
              <w:t xml:space="preserve"> – iedzīvotāji precīzāk spēj nosaukt dienesta galvenās funkcijas: aizdomīgu darījumu analīze, komercbanku uzraudzība, informācijas sniegšana izmeklēšanas iestādēm un metodisko materiālu izstrāde.</w:t>
            </w:r>
          </w:p>
          <w:p w14:paraId="50BF451B"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t xml:space="preserve">Vienlaikus </w:t>
            </w:r>
            <w:r w:rsidRPr="0064188C">
              <w:rPr>
                <w:rFonts w:eastAsia="Times New Roman" w:cstheme="minorHAnsi"/>
                <w:b/>
                <w:bCs/>
                <w:sz w:val="19"/>
                <w:szCs w:val="19"/>
                <w:bdr w:val="none" w:sz="0" w:space="0" w:color="auto" w:frame="1"/>
                <w:lang w:val="lv-LV" w:eastAsia="en-GB"/>
              </w:rPr>
              <w:t>sabiedrības attieksme pret valsts panākumiem NILL novēršanā kļuvusi kritiskāka</w:t>
            </w:r>
            <w:r w:rsidRPr="0064188C">
              <w:rPr>
                <w:rFonts w:eastAsia="Times New Roman" w:cstheme="minorHAnsi"/>
                <w:sz w:val="19"/>
                <w:szCs w:val="19"/>
                <w:bdr w:val="none" w:sz="0" w:space="0" w:color="auto" w:frame="1"/>
                <w:lang w:val="lv-LV" w:eastAsia="en-GB"/>
              </w:rPr>
              <w:t>.</w:t>
            </w:r>
          </w:p>
          <w:p w14:paraId="54CAEE68" w14:textId="77777777" w:rsidR="0064188C" w:rsidRPr="0064188C" w:rsidRDefault="0064188C" w:rsidP="0064188C">
            <w:pPr>
              <w:numPr>
                <w:ilvl w:val="0"/>
                <w:numId w:val="6"/>
              </w:numPr>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Ietekmīgākās institūcijas FID darbības kontekstā</w:t>
            </w:r>
            <w:r w:rsidRPr="0064188C">
              <w:rPr>
                <w:rFonts w:eastAsia="Times New Roman" w:cstheme="minorHAnsi"/>
                <w:sz w:val="19"/>
                <w:szCs w:val="19"/>
                <w:bdr w:val="none" w:sz="0" w:space="0" w:color="auto" w:frame="1"/>
                <w:lang w:val="lv-LV" w:eastAsia="en-GB"/>
              </w:rPr>
              <w:t xml:space="preserve"> iedzīvotāju vērtējumā ir Latvijas valdība, komercbankas, Latvijas Banka un FID.</w:t>
            </w:r>
          </w:p>
          <w:p w14:paraId="0828DE35" w14:textId="77777777" w:rsidR="0064188C" w:rsidRPr="0064188C" w:rsidRDefault="0064188C" w:rsidP="0064188C">
            <w:pPr>
              <w:numPr>
                <w:ilvl w:val="0"/>
                <w:numId w:val="6"/>
              </w:numPr>
              <w:tabs>
                <w:tab w:val="num" w:pos="720"/>
              </w:tabs>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Privātais konts ārvalstu maksājumu sistēmās</w:t>
            </w:r>
            <w:r w:rsidRPr="0064188C">
              <w:rPr>
                <w:rFonts w:eastAsia="Times New Roman" w:cstheme="minorHAnsi"/>
                <w:sz w:val="19"/>
                <w:szCs w:val="19"/>
                <w:bdr w:val="none" w:sz="0" w:space="0" w:color="auto" w:frame="1"/>
                <w:lang w:val="lv-LV" w:eastAsia="en-GB"/>
              </w:rPr>
              <w:t xml:space="preserve"> (</w:t>
            </w:r>
            <w:proofErr w:type="spellStart"/>
            <w:r w:rsidRPr="0064188C">
              <w:rPr>
                <w:rFonts w:eastAsia="Times New Roman" w:cstheme="minorHAnsi"/>
                <w:sz w:val="19"/>
                <w:szCs w:val="19"/>
                <w:bdr w:val="none" w:sz="0" w:space="0" w:color="auto" w:frame="1"/>
                <w:lang w:val="lv-LV" w:eastAsia="en-GB"/>
              </w:rPr>
              <w:t>Revolut</w:t>
            </w:r>
            <w:proofErr w:type="spellEnd"/>
            <w:r w:rsidRPr="0064188C">
              <w:rPr>
                <w:rFonts w:eastAsia="Times New Roman" w:cstheme="minorHAnsi"/>
                <w:sz w:val="19"/>
                <w:szCs w:val="19"/>
                <w:bdr w:val="none" w:sz="0" w:space="0" w:color="auto" w:frame="1"/>
                <w:lang w:val="lv-LV" w:eastAsia="en-GB"/>
              </w:rPr>
              <w:t xml:space="preserve">, </w:t>
            </w:r>
            <w:proofErr w:type="spellStart"/>
            <w:r w:rsidRPr="0064188C">
              <w:rPr>
                <w:rFonts w:eastAsia="Times New Roman" w:cstheme="minorHAnsi"/>
                <w:sz w:val="19"/>
                <w:szCs w:val="19"/>
                <w:bdr w:val="none" w:sz="0" w:space="0" w:color="auto" w:frame="1"/>
                <w:lang w:val="lv-LV" w:eastAsia="en-GB"/>
              </w:rPr>
              <w:t>Paysera</w:t>
            </w:r>
            <w:proofErr w:type="spellEnd"/>
            <w:r w:rsidRPr="0064188C">
              <w:rPr>
                <w:rFonts w:eastAsia="Times New Roman" w:cstheme="minorHAnsi"/>
                <w:sz w:val="19"/>
                <w:szCs w:val="19"/>
                <w:bdr w:val="none" w:sz="0" w:space="0" w:color="auto" w:frame="1"/>
                <w:lang w:val="lv-LV" w:eastAsia="en-GB"/>
              </w:rPr>
              <w:t xml:space="preserve">, </w:t>
            </w:r>
            <w:proofErr w:type="spellStart"/>
            <w:r w:rsidRPr="0064188C">
              <w:rPr>
                <w:rFonts w:eastAsia="Times New Roman" w:cstheme="minorHAnsi"/>
                <w:sz w:val="19"/>
                <w:szCs w:val="19"/>
                <w:bdr w:val="none" w:sz="0" w:space="0" w:color="auto" w:frame="1"/>
                <w:lang w:val="lv-LV" w:eastAsia="en-GB"/>
              </w:rPr>
              <w:t>Wise</w:t>
            </w:r>
            <w:proofErr w:type="spellEnd"/>
            <w:r w:rsidRPr="0064188C">
              <w:rPr>
                <w:rFonts w:eastAsia="Times New Roman" w:cstheme="minorHAnsi"/>
                <w:sz w:val="19"/>
                <w:szCs w:val="19"/>
                <w:bdr w:val="none" w:sz="0" w:space="0" w:color="auto" w:frame="1"/>
                <w:lang w:val="lv-LV" w:eastAsia="en-GB"/>
              </w:rPr>
              <w:t>) ir 23,6% iedzīvotāju, 4,2% plāno tādu atvērt.</w:t>
            </w:r>
          </w:p>
          <w:p w14:paraId="22E1433D" w14:textId="77777777" w:rsidR="0064188C" w:rsidRPr="0064188C" w:rsidRDefault="0064188C" w:rsidP="0064188C">
            <w:pPr>
              <w:numPr>
                <w:ilvl w:val="0"/>
                <w:numId w:val="6"/>
              </w:numPr>
              <w:tabs>
                <w:tab w:val="num" w:pos="720"/>
              </w:tabs>
              <w:spacing w:after="0" w:line="240" w:lineRule="auto"/>
              <w:jc w:val="both"/>
              <w:rPr>
                <w:rFonts w:eastAsia="Times New Roman" w:cstheme="minorHAnsi"/>
                <w:sz w:val="19"/>
                <w:szCs w:val="19"/>
                <w:bdr w:val="none" w:sz="0" w:space="0" w:color="auto" w:frame="1"/>
                <w:lang w:val="lv-LV" w:eastAsia="en-GB"/>
              </w:rPr>
            </w:pPr>
            <w:proofErr w:type="spellStart"/>
            <w:r w:rsidRPr="0064188C">
              <w:rPr>
                <w:rFonts w:eastAsia="Times New Roman" w:cstheme="minorHAnsi"/>
                <w:b/>
                <w:bCs/>
                <w:sz w:val="19"/>
                <w:szCs w:val="19"/>
                <w:bdr w:val="none" w:sz="0" w:space="0" w:color="auto" w:frame="1"/>
                <w:lang w:val="lv-LV" w:eastAsia="en-GB"/>
              </w:rPr>
              <w:t>Kriptoaktīvi</w:t>
            </w:r>
            <w:proofErr w:type="spellEnd"/>
            <w:r w:rsidRPr="0064188C">
              <w:rPr>
                <w:rFonts w:eastAsia="Times New Roman" w:cstheme="minorHAnsi"/>
                <w:sz w:val="19"/>
                <w:szCs w:val="19"/>
                <w:bdr w:val="none" w:sz="0" w:space="0" w:color="auto" w:frame="1"/>
                <w:lang w:val="lv-LV" w:eastAsia="en-GB"/>
              </w:rPr>
              <w:t xml:space="preserve"> ir 6,7% iedzīvotāju īpašumā, un </w:t>
            </w:r>
            <w:r w:rsidRPr="0064188C">
              <w:rPr>
                <w:rFonts w:eastAsia="Times New Roman" w:cstheme="minorHAnsi"/>
                <w:b/>
                <w:bCs/>
                <w:sz w:val="19"/>
                <w:szCs w:val="19"/>
                <w:bdr w:val="none" w:sz="0" w:space="0" w:color="auto" w:frame="1"/>
                <w:lang w:val="lv-LV" w:eastAsia="en-GB"/>
              </w:rPr>
              <w:t>3% tos izmantojuši norēķinos</w:t>
            </w:r>
            <w:r w:rsidRPr="0064188C">
              <w:rPr>
                <w:rFonts w:eastAsia="Times New Roman" w:cstheme="minorHAnsi"/>
                <w:sz w:val="19"/>
                <w:szCs w:val="19"/>
                <w:bdr w:val="none" w:sz="0" w:space="0" w:color="auto" w:frame="1"/>
                <w:lang w:val="lv-LV" w:eastAsia="en-GB"/>
              </w:rPr>
              <w:t>.</w:t>
            </w:r>
          </w:p>
          <w:p w14:paraId="61E7EBA1" w14:textId="77777777" w:rsidR="0064188C" w:rsidRDefault="0064188C" w:rsidP="0064188C">
            <w:pPr>
              <w:numPr>
                <w:ilvl w:val="0"/>
                <w:numId w:val="6"/>
              </w:numPr>
              <w:tabs>
                <w:tab w:val="num" w:pos="720"/>
              </w:tabs>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sz w:val="19"/>
                <w:szCs w:val="19"/>
                <w:bdr w:val="none" w:sz="0" w:space="0" w:color="auto" w:frame="1"/>
                <w:lang w:val="lv-LV" w:eastAsia="en-GB"/>
              </w:rPr>
              <w:lastRenderedPageBreak/>
              <w:t xml:space="preserve">Attieksmē pret ārvalstu maksājumu sniedzējiem vērojams </w:t>
            </w:r>
            <w:r w:rsidRPr="0064188C">
              <w:rPr>
                <w:rFonts w:eastAsia="Times New Roman" w:cstheme="minorHAnsi"/>
                <w:b/>
                <w:bCs/>
                <w:sz w:val="19"/>
                <w:szCs w:val="19"/>
                <w:bdr w:val="none" w:sz="0" w:space="0" w:color="auto" w:frame="1"/>
                <w:lang w:val="lv-LV" w:eastAsia="en-GB"/>
              </w:rPr>
              <w:t>atbalstītāju kritums un neizlēmīgo pieaugums</w:t>
            </w:r>
            <w:r w:rsidRPr="0064188C">
              <w:rPr>
                <w:rFonts w:eastAsia="Times New Roman" w:cstheme="minorHAnsi"/>
                <w:sz w:val="19"/>
                <w:szCs w:val="19"/>
                <w:bdr w:val="none" w:sz="0" w:space="0" w:color="auto" w:frame="1"/>
                <w:lang w:val="lv-LV" w:eastAsia="en-GB"/>
              </w:rPr>
              <w:t xml:space="preserve">, savukārt </w:t>
            </w:r>
            <w:r w:rsidRPr="0064188C">
              <w:rPr>
                <w:rFonts w:eastAsia="Times New Roman" w:cstheme="minorHAnsi"/>
                <w:b/>
                <w:bCs/>
                <w:sz w:val="19"/>
                <w:szCs w:val="19"/>
                <w:bdr w:val="none" w:sz="0" w:space="0" w:color="auto" w:frame="1"/>
                <w:lang w:val="lv-LV" w:eastAsia="en-GB"/>
              </w:rPr>
              <w:t>riska uztvere (drošība, informētība)</w:t>
            </w:r>
            <w:r w:rsidRPr="0064188C">
              <w:rPr>
                <w:rFonts w:eastAsia="Times New Roman" w:cstheme="minorHAnsi"/>
                <w:sz w:val="19"/>
                <w:szCs w:val="19"/>
                <w:bdr w:val="none" w:sz="0" w:space="0" w:color="auto" w:frame="1"/>
                <w:lang w:val="lv-LV" w:eastAsia="en-GB"/>
              </w:rPr>
              <w:t xml:space="preserve"> būtiski pieaugusi.</w:t>
            </w:r>
          </w:p>
          <w:p w14:paraId="4B54FD54" w14:textId="77777777" w:rsidR="00823561" w:rsidRPr="0064188C" w:rsidRDefault="00823561" w:rsidP="00823561">
            <w:pPr>
              <w:numPr>
                <w:ilvl w:val="0"/>
                <w:numId w:val="6"/>
              </w:numPr>
              <w:tabs>
                <w:tab w:val="num" w:pos="720"/>
              </w:tabs>
              <w:spacing w:after="0" w:line="240" w:lineRule="auto"/>
              <w:jc w:val="both"/>
              <w:rPr>
                <w:rFonts w:eastAsia="Times New Roman" w:cstheme="minorHAnsi"/>
                <w:sz w:val="19"/>
                <w:szCs w:val="19"/>
                <w:bdr w:val="none" w:sz="0" w:space="0" w:color="auto" w:frame="1"/>
                <w:lang w:val="lv-LV" w:eastAsia="en-GB"/>
              </w:rPr>
            </w:pPr>
            <w:r w:rsidRPr="0064188C">
              <w:rPr>
                <w:rFonts w:eastAsia="Times New Roman" w:cstheme="minorHAnsi"/>
                <w:b/>
                <w:bCs/>
                <w:sz w:val="19"/>
                <w:szCs w:val="19"/>
                <w:bdr w:val="none" w:sz="0" w:space="0" w:color="auto" w:frame="1"/>
                <w:lang w:val="lv-LV" w:eastAsia="en-GB"/>
              </w:rPr>
              <w:t>52,1%</w:t>
            </w:r>
            <w:r w:rsidRPr="0064188C">
              <w:rPr>
                <w:rFonts w:eastAsia="Times New Roman" w:cstheme="minorHAnsi"/>
                <w:sz w:val="19"/>
                <w:szCs w:val="19"/>
                <w:bdr w:val="none" w:sz="0" w:space="0" w:color="auto" w:frame="1"/>
                <w:lang w:val="lv-LV" w:eastAsia="en-GB"/>
              </w:rPr>
              <w:t xml:space="preserve"> uzskata sankcijas pret Krieviju par efektīvām, bet </w:t>
            </w:r>
            <w:r w:rsidRPr="0064188C">
              <w:rPr>
                <w:rFonts w:eastAsia="Times New Roman" w:cstheme="minorHAnsi"/>
                <w:b/>
                <w:bCs/>
                <w:sz w:val="19"/>
                <w:szCs w:val="19"/>
                <w:bdr w:val="none" w:sz="0" w:space="0" w:color="auto" w:frame="1"/>
                <w:lang w:val="lv-LV" w:eastAsia="en-GB"/>
              </w:rPr>
              <w:t>47,3% izjūt to ietekmi ikdienā</w:t>
            </w:r>
            <w:r w:rsidRPr="0064188C">
              <w:rPr>
                <w:rFonts w:eastAsia="Times New Roman" w:cstheme="minorHAnsi"/>
                <w:sz w:val="19"/>
                <w:szCs w:val="19"/>
                <w:bdr w:val="none" w:sz="0" w:space="0" w:color="auto" w:frame="1"/>
                <w:lang w:val="lv-LV" w:eastAsia="en-GB"/>
              </w:rPr>
              <w:t xml:space="preserve">; </w:t>
            </w:r>
            <w:r w:rsidRPr="0064188C">
              <w:rPr>
                <w:rFonts w:eastAsia="Times New Roman" w:cstheme="minorHAnsi"/>
                <w:b/>
                <w:bCs/>
                <w:sz w:val="19"/>
                <w:szCs w:val="19"/>
                <w:bdr w:val="none" w:sz="0" w:space="0" w:color="auto" w:frame="1"/>
                <w:lang w:val="lv-LV" w:eastAsia="en-GB"/>
              </w:rPr>
              <w:t>56,1%</w:t>
            </w:r>
            <w:r w:rsidRPr="0064188C">
              <w:rPr>
                <w:rFonts w:eastAsia="Times New Roman" w:cstheme="minorHAnsi"/>
                <w:sz w:val="19"/>
                <w:szCs w:val="19"/>
                <w:bdr w:val="none" w:sz="0" w:space="0" w:color="auto" w:frame="1"/>
                <w:lang w:val="lv-LV" w:eastAsia="en-GB"/>
              </w:rPr>
              <w:t xml:space="preserve"> uzskata, ka valsts iestādes nepietiekami uzrauga sankciju ievērošanu.</w:t>
            </w:r>
          </w:p>
          <w:p w14:paraId="5F048451" w14:textId="77777777" w:rsidR="00823561" w:rsidRPr="0064188C" w:rsidRDefault="00823561" w:rsidP="00823561">
            <w:pPr>
              <w:spacing w:after="0" w:line="240" w:lineRule="auto"/>
              <w:ind w:left="360"/>
              <w:jc w:val="both"/>
              <w:rPr>
                <w:rFonts w:eastAsia="Times New Roman" w:cstheme="minorHAnsi"/>
                <w:sz w:val="19"/>
                <w:szCs w:val="19"/>
                <w:bdr w:val="none" w:sz="0" w:space="0" w:color="auto" w:frame="1"/>
                <w:lang w:val="lv-LV" w:eastAsia="en-GB"/>
              </w:rPr>
            </w:pPr>
          </w:p>
          <w:p w14:paraId="4CF641FC" w14:textId="194774FB" w:rsidR="00D35978" w:rsidRPr="0064188C" w:rsidRDefault="00D35978" w:rsidP="00332275">
            <w:pPr>
              <w:spacing w:after="0" w:line="240" w:lineRule="auto"/>
              <w:jc w:val="both"/>
              <w:rPr>
                <w:rFonts w:eastAsia="Times New Roman" w:cstheme="minorHAnsi"/>
                <w:sz w:val="19"/>
                <w:szCs w:val="19"/>
                <w:bdr w:val="none" w:sz="0" w:space="0" w:color="auto" w:frame="1"/>
                <w:lang w:val="lv-LV" w:eastAsia="en-GB"/>
              </w:rPr>
            </w:pPr>
          </w:p>
        </w:tc>
        <w:tc>
          <w:tcPr>
            <w:tcW w:w="2544" w:type="pct"/>
            <w:tcBorders>
              <w:top w:val="outset" w:sz="6" w:space="0" w:color="414142"/>
              <w:left w:val="outset" w:sz="6" w:space="0" w:color="414142"/>
              <w:bottom w:val="outset" w:sz="6" w:space="0" w:color="414142"/>
              <w:right w:val="outset" w:sz="6" w:space="0" w:color="414142"/>
            </w:tcBorders>
            <w:shd w:val="clear" w:color="auto" w:fill="FFFFFF"/>
          </w:tcPr>
          <w:p w14:paraId="33D86AE1" w14:textId="77777777" w:rsidR="00955EFF" w:rsidRDefault="003E3CED" w:rsidP="00394A7C">
            <w:pPr>
              <w:spacing w:after="0" w:line="240" w:lineRule="auto"/>
              <w:contextualSpacing/>
              <w:jc w:val="both"/>
              <w:rPr>
                <w:rFonts w:eastAsia="Times New Roman" w:cstheme="minorHAnsi"/>
                <w:sz w:val="19"/>
                <w:szCs w:val="19"/>
                <w:lang w:eastAsia="en-GB"/>
              </w:rPr>
            </w:pPr>
            <w:r w:rsidRPr="003E3CED">
              <w:rPr>
                <w:rFonts w:eastAsia="Times New Roman" w:cstheme="minorHAnsi"/>
                <w:sz w:val="19"/>
                <w:szCs w:val="19"/>
                <w:lang w:eastAsia="en-GB"/>
              </w:rPr>
              <w:lastRenderedPageBreak/>
              <w:t>The objective of the study is to obtain representative and up-to-date insights into the public’s level of understanding and attitudes toward financial crimes, as well as the degree of trust in the Financial Intelligence Unit (FIU) and other institutions involved in preventing money laundering and countering the financing of terrorism (AML/CTF – Anti-Money Laundering and Counter-Terrorist Financing). The study also explores residents’ perceptions of the use of foreign financial services and cryptocurrencies. The findings will inform the strategic design of evidence-based public education and awareness initiatives in the field of AML/CTF, thereby strengthening public trust in state institutions and promoting financial integrity across society.</w:t>
            </w:r>
          </w:p>
          <w:p w14:paraId="00E6D58B" w14:textId="77777777" w:rsidR="0064188C" w:rsidRDefault="0064188C" w:rsidP="0064188C">
            <w:pPr>
              <w:spacing w:after="0" w:line="240" w:lineRule="auto"/>
              <w:contextualSpacing/>
              <w:jc w:val="both"/>
              <w:rPr>
                <w:rFonts w:eastAsia="Times New Roman" w:cstheme="minorHAnsi"/>
                <w:b/>
                <w:bCs/>
                <w:sz w:val="19"/>
                <w:szCs w:val="19"/>
                <w:lang w:eastAsia="en-GB"/>
              </w:rPr>
            </w:pPr>
            <w:r w:rsidRPr="0064188C">
              <w:rPr>
                <w:rFonts w:eastAsia="Times New Roman" w:cstheme="minorHAnsi"/>
                <w:b/>
                <w:bCs/>
                <w:sz w:val="19"/>
                <w:szCs w:val="19"/>
                <w:lang w:eastAsia="en-GB"/>
              </w:rPr>
              <w:t>Key findings:</w:t>
            </w:r>
          </w:p>
          <w:p w14:paraId="4FCD12CC" w14:textId="6AB33D42"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sz w:val="19"/>
                <w:szCs w:val="19"/>
                <w:lang w:eastAsia="en-GB"/>
              </w:rPr>
              <w:t xml:space="preserve">There has been a </w:t>
            </w:r>
            <w:r w:rsidRPr="0064188C">
              <w:rPr>
                <w:rFonts w:eastAsia="Times New Roman" w:cstheme="minorHAnsi"/>
                <w:b/>
                <w:bCs/>
                <w:sz w:val="19"/>
                <w:szCs w:val="19"/>
                <w:lang w:eastAsia="en-GB"/>
              </w:rPr>
              <w:t>slight increase in the public’s willingness to engage in or benefit from financial violations</w:t>
            </w:r>
            <w:r w:rsidRPr="0064188C">
              <w:rPr>
                <w:rFonts w:eastAsia="Times New Roman" w:cstheme="minorHAnsi"/>
                <w:sz w:val="19"/>
                <w:szCs w:val="19"/>
                <w:lang w:eastAsia="en-GB"/>
              </w:rPr>
              <w:t>.</w:t>
            </w:r>
          </w:p>
          <w:p w14:paraId="0956EC10" w14:textId="56971AD5"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sz w:val="19"/>
                <w:szCs w:val="19"/>
                <w:lang w:eastAsia="en-GB"/>
              </w:rPr>
              <w:t xml:space="preserve">The </w:t>
            </w:r>
            <w:r w:rsidRPr="0064188C">
              <w:rPr>
                <w:rFonts w:eastAsia="Times New Roman" w:cstheme="minorHAnsi"/>
                <w:b/>
                <w:bCs/>
                <w:sz w:val="19"/>
                <w:szCs w:val="19"/>
                <w:lang w:eastAsia="en-GB"/>
              </w:rPr>
              <w:t>number of people willing to report relatives or acquaintances involved in sanctions breaches has risen significantly</w:t>
            </w:r>
            <w:r w:rsidRPr="0064188C">
              <w:rPr>
                <w:rFonts w:eastAsia="Times New Roman" w:cstheme="minorHAnsi"/>
                <w:sz w:val="19"/>
                <w:szCs w:val="19"/>
                <w:lang w:eastAsia="en-GB"/>
              </w:rPr>
              <w:t>.</w:t>
            </w:r>
          </w:p>
          <w:p w14:paraId="66AACE05" w14:textId="58578F10"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26% of residents still believe</w:t>
            </w:r>
            <w:r w:rsidRPr="0064188C">
              <w:rPr>
                <w:rFonts w:eastAsia="Times New Roman" w:cstheme="minorHAnsi"/>
                <w:sz w:val="19"/>
                <w:szCs w:val="19"/>
                <w:lang w:eastAsia="en-GB"/>
              </w:rPr>
              <w:t xml:space="preserve"> that money laundering occurs only through commercial banks and other financial institutions.</w:t>
            </w:r>
          </w:p>
          <w:p w14:paraId="41AE7619" w14:textId="68416AEC"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23% of respondents agree</w:t>
            </w:r>
            <w:r w:rsidRPr="0064188C">
              <w:rPr>
                <w:rFonts w:eastAsia="Times New Roman" w:cstheme="minorHAnsi"/>
                <w:sz w:val="19"/>
                <w:szCs w:val="19"/>
                <w:lang w:eastAsia="en-GB"/>
              </w:rPr>
              <w:t xml:space="preserve"> that they are not affected by companies evading taxes or paying part of salaries “off the books”, while </w:t>
            </w:r>
            <w:r w:rsidRPr="0064188C">
              <w:rPr>
                <w:rFonts w:eastAsia="Times New Roman" w:cstheme="minorHAnsi"/>
                <w:b/>
                <w:bCs/>
                <w:sz w:val="19"/>
                <w:szCs w:val="19"/>
                <w:lang w:eastAsia="en-GB"/>
              </w:rPr>
              <w:t>69% disagree</w:t>
            </w:r>
            <w:r w:rsidRPr="0064188C">
              <w:rPr>
                <w:rFonts w:eastAsia="Times New Roman" w:cstheme="minorHAnsi"/>
                <w:sz w:val="19"/>
                <w:szCs w:val="19"/>
                <w:lang w:eastAsia="en-GB"/>
              </w:rPr>
              <w:t>.</w:t>
            </w:r>
          </w:p>
          <w:p w14:paraId="5CF58694" w14:textId="6A2FE8DB"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18% of residents admit</w:t>
            </w:r>
            <w:r w:rsidRPr="0064188C">
              <w:rPr>
                <w:rFonts w:eastAsia="Times New Roman" w:cstheme="minorHAnsi"/>
                <w:sz w:val="19"/>
                <w:szCs w:val="19"/>
                <w:lang w:eastAsia="en-GB"/>
              </w:rPr>
              <w:t xml:space="preserve"> that they or a family member could unknowingly become involved in money laundering.</w:t>
            </w:r>
          </w:p>
          <w:p w14:paraId="5238D260" w14:textId="2C667BBC"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sz w:val="19"/>
                <w:szCs w:val="19"/>
                <w:lang w:eastAsia="en-GB"/>
              </w:rPr>
              <w:t xml:space="preserve">The public now </w:t>
            </w:r>
            <w:r w:rsidRPr="0064188C">
              <w:rPr>
                <w:rFonts w:eastAsia="Times New Roman" w:cstheme="minorHAnsi"/>
                <w:b/>
                <w:bCs/>
                <w:sz w:val="19"/>
                <w:szCs w:val="19"/>
                <w:lang w:eastAsia="en-GB"/>
              </w:rPr>
              <w:t>perceives a higher risk</w:t>
            </w:r>
            <w:r w:rsidRPr="0064188C">
              <w:rPr>
                <w:rFonts w:eastAsia="Times New Roman" w:cstheme="minorHAnsi"/>
                <w:sz w:val="19"/>
                <w:szCs w:val="19"/>
                <w:lang w:eastAsia="en-GB"/>
              </w:rPr>
              <w:t xml:space="preserve"> of young people and the elderly becoming unknowingly involved in money laundering compared to last year.</w:t>
            </w:r>
          </w:p>
          <w:p w14:paraId="68EB9B51" w14:textId="1AEA8C21"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Public support for combating money laundering remains high and continues to grow.</w:t>
            </w:r>
          </w:p>
          <w:p w14:paraId="31B26897" w14:textId="5D1DF82B" w:rsidR="0064188C" w:rsidRPr="0064188C" w:rsidRDefault="0064188C" w:rsidP="0064188C">
            <w:pPr>
              <w:pStyle w:val="ListParagraph"/>
              <w:numPr>
                <w:ilvl w:val="0"/>
                <w:numId w:val="8"/>
              </w:numPr>
              <w:spacing w:after="0" w:line="240" w:lineRule="auto"/>
              <w:rPr>
                <w:rFonts w:eastAsia="Times New Roman" w:cstheme="minorHAnsi"/>
                <w:sz w:val="19"/>
                <w:szCs w:val="19"/>
                <w:lang w:eastAsia="en-GB"/>
              </w:rPr>
            </w:pPr>
            <w:r w:rsidRPr="0064188C">
              <w:rPr>
                <w:rFonts w:eastAsia="Times New Roman" w:cstheme="minorHAnsi"/>
                <w:sz w:val="19"/>
                <w:szCs w:val="19"/>
                <w:lang w:eastAsia="en-GB"/>
              </w:rPr>
              <w:t>The majority of residents consider the following actions to be financial crimes:</w:t>
            </w:r>
            <w:r w:rsidRPr="0064188C">
              <w:rPr>
                <w:rFonts w:eastAsia="Times New Roman" w:cstheme="minorHAnsi"/>
                <w:sz w:val="19"/>
                <w:szCs w:val="19"/>
                <w:lang w:eastAsia="en-GB"/>
              </w:rPr>
              <w:br/>
              <w:t>a. Registering a company under one’s name without participating in its activities;</w:t>
            </w:r>
            <w:r w:rsidRPr="0064188C">
              <w:rPr>
                <w:rFonts w:eastAsia="Times New Roman" w:cstheme="minorHAnsi"/>
                <w:sz w:val="19"/>
                <w:szCs w:val="19"/>
                <w:lang w:eastAsia="en-GB"/>
              </w:rPr>
              <w:br/>
              <w:t>b. Receiving and withdrawing money transferred to one’s account on behalf of someone else;</w:t>
            </w:r>
            <w:r w:rsidRPr="0064188C">
              <w:rPr>
                <w:rFonts w:eastAsia="Times New Roman" w:cstheme="minorHAnsi"/>
                <w:sz w:val="19"/>
                <w:szCs w:val="19"/>
                <w:lang w:eastAsia="en-GB"/>
              </w:rPr>
              <w:br/>
              <w:t>c. Purchasing goods from a company subject to EU sanctions;</w:t>
            </w:r>
            <w:r w:rsidRPr="0064188C">
              <w:rPr>
                <w:rFonts w:eastAsia="Times New Roman" w:cstheme="minorHAnsi"/>
                <w:sz w:val="19"/>
                <w:szCs w:val="19"/>
                <w:lang w:eastAsia="en-GB"/>
              </w:rPr>
              <w:br/>
              <w:t>d. Granting another person access to one’s bank account.</w:t>
            </w:r>
          </w:p>
          <w:p w14:paraId="24632D7E" w14:textId="631636C9"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More than two-thirds of residents believe</w:t>
            </w:r>
            <w:r w:rsidRPr="0064188C">
              <w:rPr>
                <w:rFonts w:eastAsia="Times New Roman" w:cstheme="minorHAnsi"/>
                <w:sz w:val="19"/>
                <w:szCs w:val="19"/>
                <w:lang w:eastAsia="en-GB"/>
              </w:rPr>
              <w:t xml:space="preserve"> that money laundering is linked to smuggling, tax evasion, drug trafficking, bribery, sanctions evasion, and human trafficking.</w:t>
            </w:r>
          </w:p>
          <w:p w14:paraId="0BD4FCF0" w14:textId="430D3BD3"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Public perception of the FIU’s work has improved</w:t>
            </w:r>
            <w:r w:rsidRPr="0064188C">
              <w:rPr>
                <w:rFonts w:eastAsia="Times New Roman" w:cstheme="minorHAnsi"/>
                <w:sz w:val="19"/>
                <w:szCs w:val="19"/>
                <w:lang w:eastAsia="en-GB"/>
              </w:rPr>
              <w:t xml:space="preserve"> – residents more accurately identify its main functions, including the analysis of suspicious transactions, supervision of commercial banks, provision of information to investigative bodies, and the preparation of methodological materials.</w:t>
            </w:r>
          </w:p>
          <w:p w14:paraId="04F84594" w14:textId="3EE7F0C4"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sz w:val="19"/>
                <w:szCs w:val="19"/>
                <w:lang w:eastAsia="en-GB"/>
              </w:rPr>
              <w:t xml:space="preserve">At the same time, </w:t>
            </w:r>
            <w:r w:rsidRPr="0064188C">
              <w:rPr>
                <w:rFonts w:eastAsia="Times New Roman" w:cstheme="minorHAnsi"/>
                <w:b/>
                <w:bCs/>
                <w:sz w:val="19"/>
                <w:szCs w:val="19"/>
                <w:lang w:eastAsia="en-GB"/>
              </w:rPr>
              <w:t>public evaluation of the state’s success in AML efforts has become more critical</w:t>
            </w:r>
            <w:r w:rsidRPr="0064188C">
              <w:rPr>
                <w:rFonts w:eastAsia="Times New Roman" w:cstheme="minorHAnsi"/>
                <w:sz w:val="19"/>
                <w:szCs w:val="19"/>
                <w:lang w:eastAsia="en-GB"/>
              </w:rPr>
              <w:t>.</w:t>
            </w:r>
          </w:p>
          <w:p w14:paraId="4391EFB2" w14:textId="3C487087"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sz w:val="19"/>
                <w:szCs w:val="19"/>
                <w:lang w:eastAsia="en-GB"/>
              </w:rPr>
              <w:t xml:space="preserve">According to respondents, the </w:t>
            </w:r>
            <w:r w:rsidRPr="0064188C">
              <w:rPr>
                <w:rFonts w:eastAsia="Times New Roman" w:cstheme="minorHAnsi"/>
                <w:b/>
                <w:bCs/>
                <w:sz w:val="19"/>
                <w:szCs w:val="19"/>
                <w:lang w:eastAsia="en-GB"/>
              </w:rPr>
              <w:t>most influential institutions</w:t>
            </w:r>
            <w:r w:rsidRPr="0064188C">
              <w:rPr>
                <w:rFonts w:eastAsia="Times New Roman" w:cstheme="minorHAnsi"/>
                <w:sz w:val="19"/>
                <w:szCs w:val="19"/>
                <w:lang w:eastAsia="en-GB"/>
              </w:rPr>
              <w:t xml:space="preserve"> in shaping FIU-related policies are the Latvian Government, commercial banks, the Bank of Latvia, and the FIU.</w:t>
            </w:r>
          </w:p>
          <w:p w14:paraId="50A54A97" w14:textId="1164BD89"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lastRenderedPageBreak/>
              <w:t>A private account with foreign payment service providers</w:t>
            </w:r>
            <w:r w:rsidRPr="0064188C">
              <w:rPr>
                <w:rFonts w:eastAsia="Times New Roman" w:cstheme="minorHAnsi"/>
                <w:sz w:val="19"/>
                <w:szCs w:val="19"/>
                <w:lang w:eastAsia="en-GB"/>
              </w:rPr>
              <w:t xml:space="preserve"> (such as Revolut, </w:t>
            </w:r>
            <w:proofErr w:type="spellStart"/>
            <w:r w:rsidRPr="0064188C">
              <w:rPr>
                <w:rFonts w:eastAsia="Times New Roman" w:cstheme="minorHAnsi"/>
                <w:sz w:val="19"/>
                <w:szCs w:val="19"/>
                <w:lang w:eastAsia="en-GB"/>
              </w:rPr>
              <w:t>Paysera</w:t>
            </w:r>
            <w:proofErr w:type="spellEnd"/>
            <w:r w:rsidRPr="0064188C">
              <w:rPr>
                <w:rFonts w:eastAsia="Times New Roman" w:cstheme="minorHAnsi"/>
                <w:sz w:val="19"/>
                <w:szCs w:val="19"/>
                <w:lang w:eastAsia="en-GB"/>
              </w:rPr>
              <w:t xml:space="preserve">, Wise) is held by </w:t>
            </w:r>
            <w:r w:rsidRPr="0064188C">
              <w:rPr>
                <w:rFonts w:eastAsia="Times New Roman" w:cstheme="minorHAnsi"/>
                <w:b/>
                <w:bCs/>
                <w:sz w:val="19"/>
                <w:szCs w:val="19"/>
                <w:lang w:eastAsia="en-GB"/>
              </w:rPr>
              <w:t>23.6% of residents</w:t>
            </w:r>
            <w:r w:rsidRPr="0064188C">
              <w:rPr>
                <w:rFonts w:eastAsia="Times New Roman" w:cstheme="minorHAnsi"/>
                <w:sz w:val="19"/>
                <w:szCs w:val="19"/>
                <w:lang w:eastAsia="en-GB"/>
              </w:rPr>
              <w:t xml:space="preserve">, and </w:t>
            </w:r>
            <w:r w:rsidRPr="0064188C">
              <w:rPr>
                <w:rFonts w:eastAsia="Times New Roman" w:cstheme="minorHAnsi"/>
                <w:b/>
                <w:bCs/>
                <w:sz w:val="19"/>
                <w:szCs w:val="19"/>
                <w:lang w:eastAsia="en-GB"/>
              </w:rPr>
              <w:t>4.2% plan to open one</w:t>
            </w:r>
            <w:r w:rsidRPr="0064188C">
              <w:rPr>
                <w:rFonts w:eastAsia="Times New Roman" w:cstheme="minorHAnsi"/>
                <w:sz w:val="19"/>
                <w:szCs w:val="19"/>
                <w:lang w:eastAsia="en-GB"/>
              </w:rPr>
              <w:t>.</w:t>
            </w:r>
          </w:p>
          <w:p w14:paraId="702B7545" w14:textId="6A827E61"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6.7% of residents own crypto assets</w:t>
            </w:r>
            <w:r w:rsidRPr="0064188C">
              <w:rPr>
                <w:rFonts w:eastAsia="Times New Roman" w:cstheme="minorHAnsi"/>
                <w:sz w:val="19"/>
                <w:szCs w:val="19"/>
                <w:lang w:eastAsia="en-GB"/>
              </w:rPr>
              <w:t xml:space="preserve">, and </w:t>
            </w:r>
            <w:r w:rsidRPr="0064188C">
              <w:rPr>
                <w:rFonts w:eastAsia="Times New Roman" w:cstheme="minorHAnsi"/>
                <w:b/>
                <w:bCs/>
                <w:sz w:val="19"/>
                <w:szCs w:val="19"/>
                <w:lang w:eastAsia="en-GB"/>
              </w:rPr>
              <w:t>3% have used them for payments</w:t>
            </w:r>
            <w:r w:rsidRPr="0064188C">
              <w:rPr>
                <w:rFonts w:eastAsia="Times New Roman" w:cstheme="minorHAnsi"/>
                <w:sz w:val="19"/>
                <w:szCs w:val="19"/>
                <w:lang w:eastAsia="en-GB"/>
              </w:rPr>
              <w:t>.</w:t>
            </w:r>
          </w:p>
          <w:p w14:paraId="58556AEB" w14:textId="560946C3" w:rsidR="0064188C" w:rsidRPr="0064188C" w:rsidRDefault="0064188C"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sz w:val="19"/>
                <w:szCs w:val="19"/>
                <w:lang w:eastAsia="en-GB"/>
              </w:rPr>
              <w:t xml:space="preserve">In relation to foreign payment providers, there is a </w:t>
            </w:r>
            <w:r w:rsidRPr="0064188C">
              <w:rPr>
                <w:rFonts w:eastAsia="Times New Roman" w:cstheme="minorHAnsi"/>
                <w:b/>
                <w:bCs/>
                <w:sz w:val="19"/>
                <w:szCs w:val="19"/>
                <w:lang w:eastAsia="en-GB"/>
              </w:rPr>
              <w:t>decline in supporters and an increase in undecided respondents</w:t>
            </w:r>
            <w:r w:rsidRPr="0064188C">
              <w:rPr>
                <w:rFonts w:eastAsia="Times New Roman" w:cstheme="minorHAnsi"/>
                <w:sz w:val="19"/>
                <w:szCs w:val="19"/>
                <w:lang w:eastAsia="en-GB"/>
              </w:rPr>
              <w:t xml:space="preserve">, while </w:t>
            </w:r>
            <w:r w:rsidRPr="0064188C">
              <w:rPr>
                <w:rFonts w:eastAsia="Times New Roman" w:cstheme="minorHAnsi"/>
                <w:b/>
                <w:bCs/>
                <w:sz w:val="19"/>
                <w:szCs w:val="19"/>
                <w:lang w:eastAsia="en-GB"/>
              </w:rPr>
              <w:t>risk perception (regarding security and awareness) has grown significantly</w:t>
            </w:r>
            <w:r w:rsidRPr="0064188C">
              <w:rPr>
                <w:rFonts w:eastAsia="Times New Roman" w:cstheme="minorHAnsi"/>
                <w:sz w:val="19"/>
                <w:szCs w:val="19"/>
                <w:lang w:eastAsia="en-GB"/>
              </w:rPr>
              <w:t>.</w:t>
            </w:r>
          </w:p>
          <w:p w14:paraId="1E4E3418" w14:textId="60CDDBD5" w:rsidR="0064188C" w:rsidRPr="00823561" w:rsidRDefault="00823561" w:rsidP="0064188C">
            <w:pPr>
              <w:pStyle w:val="ListParagraph"/>
              <w:numPr>
                <w:ilvl w:val="0"/>
                <w:numId w:val="8"/>
              </w:numPr>
              <w:spacing w:after="0" w:line="240" w:lineRule="auto"/>
              <w:jc w:val="both"/>
              <w:rPr>
                <w:rFonts w:eastAsia="Times New Roman" w:cstheme="minorHAnsi"/>
                <w:sz w:val="19"/>
                <w:szCs w:val="19"/>
                <w:lang w:eastAsia="en-GB"/>
              </w:rPr>
            </w:pPr>
            <w:r w:rsidRPr="0064188C">
              <w:rPr>
                <w:rFonts w:eastAsia="Times New Roman" w:cstheme="minorHAnsi"/>
                <w:b/>
                <w:bCs/>
                <w:sz w:val="19"/>
                <w:szCs w:val="19"/>
                <w:lang w:eastAsia="en-GB"/>
              </w:rPr>
              <w:t>52.1% consider sanctions against Russia to be effective</w:t>
            </w:r>
            <w:r w:rsidRPr="0064188C">
              <w:rPr>
                <w:rFonts w:eastAsia="Times New Roman" w:cstheme="minorHAnsi"/>
                <w:sz w:val="19"/>
                <w:szCs w:val="19"/>
                <w:lang w:eastAsia="en-GB"/>
              </w:rPr>
              <w:t xml:space="preserve">, while </w:t>
            </w:r>
            <w:r w:rsidRPr="0064188C">
              <w:rPr>
                <w:rFonts w:eastAsia="Times New Roman" w:cstheme="minorHAnsi"/>
                <w:b/>
                <w:bCs/>
                <w:sz w:val="19"/>
                <w:szCs w:val="19"/>
                <w:lang w:eastAsia="en-GB"/>
              </w:rPr>
              <w:t>47.3% feel their impact in daily life</w:t>
            </w:r>
            <w:r w:rsidRPr="0064188C">
              <w:rPr>
                <w:rFonts w:eastAsia="Times New Roman" w:cstheme="minorHAnsi"/>
                <w:sz w:val="19"/>
                <w:szCs w:val="19"/>
                <w:lang w:eastAsia="en-GB"/>
              </w:rPr>
              <w:t xml:space="preserve">; </w:t>
            </w:r>
            <w:r w:rsidRPr="0064188C">
              <w:rPr>
                <w:rFonts w:eastAsia="Times New Roman" w:cstheme="minorHAnsi"/>
                <w:b/>
                <w:bCs/>
                <w:sz w:val="19"/>
                <w:szCs w:val="19"/>
                <w:lang w:eastAsia="en-GB"/>
              </w:rPr>
              <w:t>56.1% believe</w:t>
            </w:r>
            <w:r w:rsidRPr="0064188C">
              <w:rPr>
                <w:rFonts w:eastAsia="Times New Roman" w:cstheme="minorHAnsi"/>
                <w:sz w:val="19"/>
                <w:szCs w:val="19"/>
                <w:lang w:eastAsia="en-GB"/>
              </w:rPr>
              <w:t xml:space="preserve"> that state institutions do not monitor compliance with sanctions effectively enough.</w:t>
            </w:r>
          </w:p>
        </w:tc>
      </w:tr>
      <w:tr w:rsidR="00A73B49" w:rsidRPr="0064188C" w14:paraId="70C92386"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321DBCCA" w14:textId="4D602220"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lastRenderedPageBreak/>
              <w:t>Galvenās pētījumā aplūkotās tēmas</w:t>
            </w:r>
            <w:r w:rsidR="00925504" w:rsidRPr="00844110">
              <w:rPr>
                <w:rFonts w:eastAsia="Times New Roman" w:cstheme="minorHAnsi"/>
                <w:b/>
                <w:bCs/>
                <w:sz w:val="19"/>
                <w:szCs w:val="19"/>
                <w:lang w:val="lv-LV" w:eastAsia="en-GB"/>
              </w:rPr>
              <w:t xml:space="preserve">  </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39E06681" w14:textId="1ECEEC63" w:rsidR="00B37E42" w:rsidRPr="003E3CED" w:rsidRDefault="003E3CED" w:rsidP="00A73B49">
            <w:pPr>
              <w:spacing w:after="0" w:line="240" w:lineRule="auto"/>
              <w:contextualSpacing/>
              <w:jc w:val="both"/>
              <w:rPr>
                <w:rFonts w:eastAsia="Times New Roman" w:cstheme="minorHAnsi"/>
                <w:sz w:val="19"/>
                <w:szCs w:val="19"/>
                <w:bdr w:val="none" w:sz="0" w:space="0" w:color="auto" w:frame="1"/>
                <w:lang w:val="lv-LV" w:eastAsia="en-GB"/>
              </w:rPr>
            </w:pPr>
            <w:r w:rsidRPr="003E3CED">
              <w:rPr>
                <w:rFonts w:eastAsia="Times New Roman" w:cstheme="minorHAnsi"/>
                <w:sz w:val="19"/>
                <w:szCs w:val="19"/>
                <w:bdr w:val="none" w:sz="0" w:space="0" w:color="auto" w:frame="1"/>
                <w:lang w:val="lv-LV" w:eastAsia="en-GB"/>
              </w:rPr>
              <w:t xml:space="preserve">Sabiedrības izpratne par finanšu noziegumiem un to ietekmi uz tautsaimniecību, uzticēšanās līmenis institūcijām, attieksme pret </w:t>
            </w:r>
            <w:proofErr w:type="spellStart"/>
            <w:r w:rsidRPr="003E3CED">
              <w:rPr>
                <w:rFonts w:eastAsia="Times New Roman" w:cstheme="minorHAnsi"/>
                <w:sz w:val="19"/>
                <w:szCs w:val="19"/>
                <w:bdr w:val="none" w:sz="0" w:space="0" w:color="auto" w:frame="1"/>
                <w:lang w:val="lv-LV" w:eastAsia="en-GB"/>
              </w:rPr>
              <w:t>kriptovalūtām</w:t>
            </w:r>
            <w:proofErr w:type="spellEnd"/>
            <w:r w:rsidRPr="003E3CED">
              <w:rPr>
                <w:rFonts w:eastAsia="Times New Roman" w:cstheme="minorHAnsi"/>
                <w:sz w:val="19"/>
                <w:szCs w:val="19"/>
                <w:bdr w:val="none" w:sz="0" w:space="0" w:color="auto" w:frame="1"/>
                <w:lang w:val="lv-LV" w:eastAsia="en-GB"/>
              </w:rPr>
              <w:t xml:space="preserve"> un finanšu pakalpojumu izmantošana ārvalstīs</w:t>
            </w:r>
            <w:r>
              <w:rPr>
                <w:rFonts w:eastAsia="Times New Roman" w:cstheme="minorHAnsi"/>
                <w:sz w:val="19"/>
                <w:szCs w:val="19"/>
                <w:bdr w:val="none" w:sz="0" w:space="0" w:color="auto" w:frame="1"/>
                <w:lang w:val="lv-LV" w:eastAsia="en-GB"/>
              </w:rPr>
              <w:t>.</w:t>
            </w:r>
          </w:p>
        </w:tc>
      </w:tr>
      <w:tr w:rsidR="00A73B49" w:rsidRPr="0064188C" w14:paraId="65C086CD"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6F64C283"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Pētījuma pasūtītājs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07871F18" w14:textId="251E7996" w:rsidR="00B37E42" w:rsidRPr="00FD3539" w:rsidRDefault="00E571C2" w:rsidP="008E769C">
            <w:pPr>
              <w:spacing w:after="0" w:line="240" w:lineRule="auto"/>
              <w:contextualSpacing/>
              <w:rPr>
                <w:rFonts w:eastAsia="Times New Roman" w:cstheme="minorHAnsi"/>
                <w:sz w:val="19"/>
                <w:szCs w:val="19"/>
                <w:lang w:val="lv-LV" w:eastAsia="en-GB"/>
              </w:rPr>
            </w:pPr>
            <w:r w:rsidRPr="00E571C2">
              <w:rPr>
                <w:rFonts w:cstheme="minorHAnsi"/>
                <w:sz w:val="19"/>
                <w:szCs w:val="19"/>
                <w:lang w:val="lv-LV"/>
              </w:rPr>
              <w:t xml:space="preserve">Finanšu izlūkošanas dienests (FID), </w:t>
            </w:r>
            <w:proofErr w:type="spellStart"/>
            <w:r w:rsidRPr="00E571C2">
              <w:rPr>
                <w:rFonts w:cstheme="minorHAnsi"/>
                <w:sz w:val="19"/>
                <w:szCs w:val="19"/>
                <w:lang w:val="lv-LV"/>
              </w:rPr>
              <w:t>reģ</w:t>
            </w:r>
            <w:proofErr w:type="spellEnd"/>
            <w:r w:rsidRPr="00E571C2">
              <w:rPr>
                <w:rFonts w:cstheme="minorHAnsi"/>
                <w:sz w:val="19"/>
                <w:szCs w:val="19"/>
                <w:lang w:val="lv-LV"/>
              </w:rPr>
              <w:t>. nr. 40900025406, Vaļņu iela 28, Rīga, Latvija.</w:t>
            </w:r>
            <w:r>
              <w:rPr>
                <w:rFonts w:cstheme="minorHAnsi"/>
                <w:sz w:val="19"/>
                <w:szCs w:val="19"/>
                <w:lang w:val="lv-LV"/>
              </w:rPr>
              <w:t xml:space="preserve"> </w:t>
            </w:r>
          </w:p>
        </w:tc>
      </w:tr>
      <w:tr w:rsidR="00A73B49" w:rsidRPr="0064188C" w14:paraId="2FA200DE" w14:textId="77777777" w:rsidTr="00BA4BBB">
        <w:trPr>
          <w:trHeight w:val="212"/>
        </w:trPr>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26005153"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Pētījuma īstenotājs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753C9160" w14:textId="5BD21147" w:rsidR="00B37E42" w:rsidRPr="00DA5636" w:rsidRDefault="00E571C2" w:rsidP="00A73B49">
            <w:pPr>
              <w:spacing w:after="0"/>
              <w:contextualSpacing/>
              <w:jc w:val="both"/>
              <w:rPr>
                <w:rFonts w:eastAsia="Times New Roman" w:cstheme="minorHAnsi"/>
                <w:b/>
                <w:bCs/>
                <w:sz w:val="19"/>
                <w:szCs w:val="19"/>
                <w:lang w:val="lv-LV" w:eastAsia="en-GB"/>
              </w:rPr>
            </w:pPr>
            <w:r>
              <w:rPr>
                <w:rFonts w:cstheme="minorHAnsi"/>
                <w:sz w:val="19"/>
                <w:szCs w:val="19"/>
                <w:lang w:val="lv-LV"/>
              </w:rPr>
              <w:t>S</w:t>
            </w:r>
            <w:r w:rsidR="00DA5636">
              <w:rPr>
                <w:rFonts w:cstheme="minorHAnsi"/>
                <w:sz w:val="19"/>
                <w:szCs w:val="19"/>
                <w:lang w:val="lv-LV"/>
              </w:rPr>
              <w:t>abiedrība ar ierobežotu atbildību “</w:t>
            </w:r>
            <w:proofErr w:type="spellStart"/>
            <w:r w:rsidR="00DA5636">
              <w:rPr>
                <w:rFonts w:cstheme="minorHAnsi"/>
                <w:sz w:val="19"/>
                <w:szCs w:val="19"/>
                <w:lang w:val="lv-LV"/>
              </w:rPr>
              <w:t>InnoMatrix</w:t>
            </w:r>
            <w:proofErr w:type="spellEnd"/>
            <w:r w:rsidR="00DA5636">
              <w:rPr>
                <w:rFonts w:cstheme="minorHAnsi"/>
                <w:sz w:val="19"/>
                <w:szCs w:val="19"/>
                <w:lang w:val="lv-LV"/>
              </w:rPr>
              <w:t xml:space="preserve">”, </w:t>
            </w:r>
            <w:proofErr w:type="spellStart"/>
            <w:r w:rsidR="00DA5636">
              <w:rPr>
                <w:rFonts w:cstheme="minorHAnsi"/>
                <w:sz w:val="19"/>
                <w:szCs w:val="19"/>
                <w:lang w:val="lv-LV"/>
              </w:rPr>
              <w:t>reģ</w:t>
            </w:r>
            <w:proofErr w:type="spellEnd"/>
            <w:r w:rsidR="00DA5636">
              <w:rPr>
                <w:rFonts w:cstheme="minorHAnsi"/>
                <w:sz w:val="19"/>
                <w:szCs w:val="19"/>
                <w:lang w:val="lv-LV"/>
              </w:rPr>
              <w:t xml:space="preserve">. nr. </w:t>
            </w:r>
            <w:r w:rsidR="00DA5636" w:rsidRPr="00DA5636">
              <w:rPr>
                <w:rFonts w:cstheme="minorHAnsi"/>
                <w:sz w:val="19"/>
                <w:szCs w:val="19"/>
                <w:lang w:val="lv-LV"/>
              </w:rPr>
              <w:t>40103264228</w:t>
            </w:r>
          </w:p>
        </w:tc>
      </w:tr>
      <w:tr w:rsidR="00A73B49" w:rsidRPr="00844110" w14:paraId="73DF92FA"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75081B30"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Pētījuma īstenošanas gads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5307F8C6" w14:textId="287B9078" w:rsidR="00B37E42" w:rsidRPr="00844110" w:rsidRDefault="00A73B49" w:rsidP="00A73B49">
            <w:pPr>
              <w:spacing w:after="0" w:line="240" w:lineRule="auto"/>
              <w:contextualSpacing/>
              <w:jc w:val="both"/>
              <w:rPr>
                <w:rFonts w:eastAsia="Times New Roman" w:cstheme="minorHAnsi"/>
                <w:sz w:val="19"/>
                <w:szCs w:val="19"/>
                <w:lang w:val="lv-LV" w:eastAsia="en-GB"/>
              </w:rPr>
            </w:pPr>
            <w:r w:rsidRPr="00844110">
              <w:rPr>
                <w:rFonts w:eastAsia="Times New Roman" w:cstheme="minorHAnsi"/>
                <w:sz w:val="19"/>
                <w:szCs w:val="19"/>
                <w:lang w:val="lv-LV" w:eastAsia="en-GB"/>
              </w:rPr>
              <w:t>20</w:t>
            </w:r>
            <w:r w:rsidR="00BC1893" w:rsidRPr="00844110">
              <w:rPr>
                <w:rFonts w:eastAsia="Times New Roman" w:cstheme="minorHAnsi"/>
                <w:sz w:val="19"/>
                <w:szCs w:val="19"/>
                <w:lang w:val="lv-LV" w:eastAsia="en-GB"/>
              </w:rPr>
              <w:t>2</w:t>
            </w:r>
            <w:r w:rsidR="00E571C2">
              <w:rPr>
                <w:rFonts w:eastAsia="Times New Roman" w:cstheme="minorHAnsi"/>
                <w:sz w:val="19"/>
                <w:szCs w:val="19"/>
                <w:lang w:val="lv-LV" w:eastAsia="en-GB"/>
              </w:rPr>
              <w:t>5</w:t>
            </w:r>
            <w:r w:rsidRPr="00844110">
              <w:rPr>
                <w:rFonts w:eastAsia="Times New Roman" w:cstheme="minorHAnsi"/>
                <w:sz w:val="19"/>
                <w:szCs w:val="19"/>
                <w:lang w:val="lv-LV" w:eastAsia="en-GB"/>
              </w:rPr>
              <w:t>.</w:t>
            </w:r>
          </w:p>
        </w:tc>
      </w:tr>
      <w:tr w:rsidR="00A73B49" w:rsidRPr="0064188C" w14:paraId="3744DAFE"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631672DC"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Pētījuma finansēšanas summa un finansēšanas avots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6AD21570" w14:textId="42E82B26" w:rsidR="00B37E42" w:rsidRPr="00844110" w:rsidRDefault="00E571C2" w:rsidP="00A73B49">
            <w:pPr>
              <w:spacing w:after="0" w:line="240" w:lineRule="auto"/>
              <w:contextualSpacing/>
              <w:jc w:val="both"/>
              <w:rPr>
                <w:rFonts w:eastAsia="Times New Roman" w:cstheme="minorHAnsi"/>
                <w:sz w:val="19"/>
                <w:szCs w:val="19"/>
                <w:lang w:val="lv-LV" w:eastAsia="en-GB"/>
              </w:rPr>
            </w:pPr>
            <w:r>
              <w:rPr>
                <w:rFonts w:eastAsia="Times New Roman" w:cstheme="minorHAnsi"/>
                <w:sz w:val="19"/>
                <w:szCs w:val="19"/>
                <w:lang w:val="lv-LV" w:eastAsia="en-GB"/>
              </w:rPr>
              <w:t>4985</w:t>
            </w:r>
            <w:r w:rsidR="00082549" w:rsidRPr="00844110">
              <w:rPr>
                <w:rFonts w:eastAsia="Times New Roman" w:cstheme="minorHAnsi"/>
                <w:sz w:val="19"/>
                <w:szCs w:val="19"/>
                <w:lang w:val="lv-LV" w:eastAsia="en-GB"/>
              </w:rPr>
              <w:t xml:space="preserve">,00 </w:t>
            </w:r>
            <w:r w:rsidR="00A73B49" w:rsidRPr="00844110">
              <w:rPr>
                <w:rFonts w:eastAsia="Times New Roman" w:cstheme="minorHAnsi"/>
                <w:sz w:val="19"/>
                <w:szCs w:val="19"/>
                <w:lang w:val="lv-LV" w:eastAsia="en-GB"/>
              </w:rPr>
              <w:t>EUR bez PVN</w:t>
            </w:r>
          </w:p>
          <w:p w14:paraId="2D0DDAA6" w14:textId="4992B420" w:rsidR="00A73B49" w:rsidRPr="00844110" w:rsidRDefault="00E571C2" w:rsidP="00A73B49">
            <w:pPr>
              <w:spacing w:after="0" w:line="240" w:lineRule="auto"/>
              <w:contextualSpacing/>
              <w:jc w:val="both"/>
              <w:rPr>
                <w:rFonts w:eastAsia="Times New Roman" w:cstheme="minorHAnsi"/>
                <w:sz w:val="19"/>
                <w:szCs w:val="19"/>
                <w:lang w:val="lv-LV" w:eastAsia="en-GB"/>
              </w:rPr>
            </w:pPr>
            <w:r>
              <w:rPr>
                <w:rFonts w:eastAsia="Times New Roman" w:cstheme="minorHAnsi"/>
                <w:sz w:val="19"/>
                <w:szCs w:val="19"/>
                <w:lang w:val="lv-LV" w:eastAsia="en-GB"/>
              </w:rPr>
              <w:t>6031,85</w:t>
            </w:r>
            <w:r w:rsidR="00082549" w:rsidRPr="00844110">
              <w:rPr>
                <w:rFonts w:eastAsia="Times New Roman" w:cstheme="minorHAnsi"/>
                <w:sz w:val="19"/>
                <w:szCs w:val="19"/>
                <w:lang w:val="lv-LV" w:eastAsia="en-GB"/>
              </w:rPr>
              <w:t xml:space="preserve"> </w:t>
            </w:r>
            <w:r w:rsidR="00A73B49" w:rsidRPr="00844110">
              <w:rPr>
                <w:rFonts w:eastAsia="Times New Roman" w:cstheme="minorHAnsi"/>
                <w:sz w:val="19"/>
                <w:szCs w:val="19"/>
                <w:lang w:val="lv-LV" w:eastAsia="en-GB"/>
              </w:rPr>
              <w:t>EUR ar PVN</w:t>
            </w:r>
          </w:p>
          <w:p w14:paraId="6F414D71" w14:textId="76EAD923" w:rsidR="00A73B49" w:rsidRPr="00E571C2" w:rsidRDefault="00E571C2" w:rsidP="00A73B49">
            <w:pPr>
              <w:spacing w:after="0" w:line="240" w:lineRule="auto"/>
              <w:contextualSpacing/>
              <w:jc w:val="both"/>
              <w:rPr>
                <w:rFonts w:eastAsia="Times New Roman" w:cstheme="minorHAnsi"/>
                <w:sz w:val="19"/>
                <w:szCs w:val="19"/>
                <w:lang w:val="lv-LV" w:eastAsia="en-GB"/>
              </w:rPr>
            </w:pPr>
            <w:r w:rsidRPr="00E571C2">
              <w:rPr>
                <w:rFonts w:cstheme="minorHAnsi"/>
                <w:sz w:val="19"/>
                <w:szCs w:val="19"/>
                <w:lang w:val="lv-LV"/>
              </w:rPr>
              <w:t>FID budžeta līdzekļi, paredzēti šim mērķim.</w:t>
            </w:r>
          </w:p>
        </w:tc>
      </w:tr>
      <w:tr w:rsidR="00A73B49" w:rsidRPr="00844110" w14:paraId="4E54ECC3"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67920E53" w14:textId="07B27100"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Pētījuma klasifikācija</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693C6E00" w14:textId="15E4590F" w:rsidR="00B37E42" w:rsidRPr="00844110" w:rsidRDefault="00E571C2" w:rsidP="00A73B49">
            <w:pPr>
              <w:spacing w:after="0" w:line="240" w:lineRule="auto"/>
              <w:contextualSpacing/>
              <w:jc w:val="both"/>
              <w:rPr>
                <w:rFonts w:eastAsia="Times New Roman" w:cstheme="minorHAnsi"/>
                <w:sz w:val="19"/>
                <w:szCs w:val="19"/>
                <w:lang w:val="lv-LV" w:eastAsia="en-GB"/>
              </w:rPr>
            </w:pPr>
            <w:proofErr w:type="spellStart"/>
            <w:r w:rsidRPr="00E571C2">
              <w:rPr>
                <w:rFonts w:eastAsia="Times New Roman" w:cstheme="minorHAnsi"/>
                <w:sz w:val="19"/>
                <w:szCs w:val="19"/>
                <w:lang w:eastAsia="en-GB"/>
              </w:rPr>
              <w:t>Regulārs</w:t>
            </w:r>
            <w:proofErr w:type="spellEnd"/>
            <w:r w:rsidRPr="00E571C2">
              <w:rPr>
                <w:rFonts w:eastAsia="Times New Roman" w:cstheme="minorHAnsi"/>
                <w:sz w:val="19"/>
                <w:szCs w:val="19"/>
                <w:lang w:eastAsia="en-GB"/>
              </w:rPr>
              <w:t xml:space="preserve"> </w:t>
            </w:r>
            <w:proofErr w:type="spellStart"/>
            <w:r w:rsidRPr="00E571C2">
              <w:rPr>
                <w:rFonts w:eastAsia="Times New Roman" w:cstheme="minorHAnsi"/>
                <w:sz w:val="19"/>
                <w:szCs w:val="19"/>
                <w:lang w:eastAsia="en-GB"/>
              </w:rPr>
              <w:t>sabiedriskās</w:t>
            </w:r>
            <w:proofErr w:type="spellEnd"/>
            <w:r w:rsidRPr="00E571C2">
              <w:rPr>
                <w:rFonts w:eastAsia="Times New Roman" w:cstheme="minorHAnsi"/>
                <w:sz w:val="19"/>
                <w:szCs w:val="19"/>
                <w:lang w:eastAsia="en-GB"/>
              </w:rPr>
              <w:t xml:space="preserve"> </w:t>
            </w:r>
            <w:proofErr w:type="spellStart"/>
            <w:r w:rsidRPr="00E571C2">
              <w:rPr>
                <w:rFonts w:eastAsia="Times New Roman" w:cstheme="minorHAnsi"/>
                <w:sz w:val="19"/>
                <w:szCs w:val="19"/>
                <w:lang w:eastAsia="en-GB"/>
              </w:rPr>
              <w:t>domas</w:t>
            </w:r>
            <w:proofErr w:type="spellEnd"/>
            <w:r w:rsidRPr="00E571C2">
              <w:rPr>
                <w:rFonts w:eastAsia="Times New Roman" w:cstheme="minorHAnsi"/>
                <w:sz w:val="19"/>
                <w:szCs w:val="19"/>
                <w:lang w:eastAsia="en-GB"/>
              </w:rPr>
              <w:t xml:space="preserve"> </w:t>
            </w:r>
            <w:proofErr w:type="spellStart"/>
            <w:r w:rsidRPr="00E571C2">
              <w:rPr>
                <w:rFonts w:eastAsia="Times New Roman" w:cstheme="minorHAnsi"/>
                <w:sz w:val="19"/>
                <w:szCs w:val="19"/>
                <w:lang w:eastAsia="en-GB"/>
              </w:rPr>
              <w:t>pētījums</w:t>
            </w:r>
            <w:proofErr w:type="spellEnd"/>
            <w:r w:rsidRPr="00E571C2">
              <w:rPr>
                <w:rFonts w:eastAsia="Times New Roman" w:cstheme="minorHAnsi"/>
                <w:sz w:val="19"/>
                <w:szCs w:val="19"/>
                <w:lang w:eastAsia="en-GB"/>
              </w:rPr>
              <w:t>.</w:t>
            </w:r>
          </w:p>
        </w:tc>
      </w:tr>
      <w:tr w:rsidR="00A73B49" w:rsidRPr="0064188C" w14:paraId="7B7B3110"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2B0BCADC" w14:textId="3A27108B"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Politikas joma, nozare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7E72217A" w14:textId="59BD5C9C" w:rsidR="00B37E42" w:rsidRPr="00E571C2" w:rsidRDefault="00E571C2" w:rsidP="0039745E">
            <w:pPr>
              <w:spacing w:after="0" w:line="240" w:lineRule="auto"/>
              <w:contextualSpacing/>
              <w:rPr>
                <w:rFonts w:eastAsia="Times New Roman" w:cstheme="minorHAnsi"/>
                <w:sz w:val="19"/>
                <w:szCs w:val="19"/>
                <w:lang w:val="lv-LV" w:eastAsia="en-GB"/>
              </w:rPr>
            </w:pPr>
            <w:r w:rsidRPr="00E571C2">
              <w:rPr>
                <w:rFonts w:eastAsia="Times New Roman" w:cstheme="minorHAnsi"/>
                <w:sz w:val="19"/>
                <w:szCs w:val="19"/>
                <w:lang w:val="lv-LV" w:eastAsia="en-GB"/>
              </w:rPr>
              <w:t>Finanšu drošības politika, NILL novēršanas un sabiedrības informēšanas politika.</w:t>
            </w:r>
          </w:p>
        </w:tc>
      </w:tr>
      <w:tr w:rsidR="00A73B49" w:rsidRPr="00844110" w14:paraId="7B867383"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40163ACF" w14:textId="77777777" w:rsidR="00B37E42" w:rsidRPr="00844110" w:rsidRDefault="00B37E42" w:rsidP="00A73B49">
            <w:pPr>
              <w:spacing w:after="0" w:line="240" w:lineRule="auto"/>
              <w:contextualSpacing/>
              <w:rPr>
                <w:rFonts w:eastAsia="Times New Roman" w:cstheme="minorHAnsi"/>
                <w:sz w:val="19"/>
                <w:szCs w:val="19"/>
                <w:lang w:val="lv-LV" w:eastAsia="en-GB"/>
              </w:rPr>
            </w:pPr>
            <w:r w:rsidRPr="00844110">
              <w:rPr>
                <w:rFonts w:eastAsia="Times New Roman" w:cstheme="minorHAnsi"/>
                <w:b/>
                <w:bCs/>
                <w:sz w:val="19"/>
                <w:szCs w:val="19"/>
                <w:bdr w:val="none" w:sz="0" w:space="0" w:color="auto" w:frame="1"/>
                <w:lang w:val="lv-LV" w:eastAsia="en-GB"/>
              </w:rPr>
              <w:t>Pētījuma ģeogrāfiskais aptvērums</w:t>
            </w:r>
            <w:r w:rsidRPr="00844110">
              <w:rPr>
                <w:rFonts w:eastAsia="Times New Roman" w:cstheme="minorHAnsi"/>
                <w:b/>
                <w:bCs/>
                <w:sz w:val="19"/>
                <w:szCs w:val="19"/>
                <w:bdr w:val="none" w:sz="0" w:space="0" w:color="auto" w:frame="1"/>
                <w:lang w:val="lv-LV" w:eastAsia="en-GB"/>
              </w:rPr>
              <w:br/>
            </w:r>
            <w:r w:rsidRPr="00844110">
              <w:rPr>
                <w:rFonts w:eastAsia="Times New Roman" w:cstheme="minorHAnsi"/>
                <w:sz w:val="19"/>
                <w:szCs w:val="19"/>
                <w:lang w:val="lv-LV" w:eastAsia="en-GB"/>
              </w:rPr>
              <w:t>(visa Latvija vai noteikts reģions/novads)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2FDAE4C0" w14:textId="73794723" w:rsidR="00B37E42" w:rsidRPr="00844110" w:rsidRDefault="00082549" w:rsidP="00A73B49">
            <w:pPr>
              <w:spacing w:after="0" w:line="240" w:lineRule="auto"/>
              <w:contextualSpacing/>
              <w:rPr>
                <w:rFonts w:eastAsia="Times New Roman" w:cstheme="minorHAnsi"/>
                <w:sz w:val="19"/>
                <w:szCs w:val="19"/>
                <w:lang w:val="lv-LV" w:eastAsia="en-GB"/>
              </w:rPr>
            </w:pPr>
            <w:r w:rsidRPr="00844110">
              <w:rPr>
                <w:rFonts w:eastAsia="Times New Roman" w:cstheme="minorHAnsi"/>
                <w:sz w:val="19"/>
                <w:szCs w:val="19"/>
                <w:lang w:val="lv-LV" w:eastAsia="en-GB"/>
              </w:rPr>
              <w:t>Latvijas teritorija</w:t>
            </w:r>
          </w:p>
        </w:tc>
      </w:tr>
      <w:tr w:rsidR="00A73B49" w:rsidRPr="0064188C" w14:paraId="2047054B"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700A59A7" w14:textId="77777777" w:rsidR="00B37E42" w:rsidRPr="00844110" w:rsidRDefault="00B37E42" w:rsidP="00A73B49">
            <w:pPr>
              <w:spacing w:after="0" w:line="240" w:lineRule="auto"/>
              <w:contextualSpacing/>
              <w:rPr>
                <w:rFonts w:eastAsia="Times New Roman" w:cstheme="minorHAnsi"/>
                <w:sz w:val="19"/>
                <w:szCs w:val="19"/>
                <w:lang w:val="lv-LV" w:eastAsia="en-GB"/>
              </w:rPr>
            </w:pPr>
            <w:r w:rsidRPr="00844110">
              <w:rPr>
                <w:rFonts w:eastAsia="Times New Roman" w:cstheme="minorHAnsi"/>
                <w:b/>
                <w:bCs/>
                <w:sz w:val="19"/>
                <w:szCs w:val="19"/>
                <w:bdr w:val="none" w:sz="0" w:space="0" w:color="auto" w:frame="1"/>
                <w:lang w:val="lv-LV" w:eastAsia="en-GB"/>
              </w:rPr>
              <w:t>Pētījuma mērķa grupa/-</w:t>
            </w:r>
            <w:proofErr w:type="spellStart"/>
            <w:r w:rsidRPr="00844110">
              <w:rPr>
                <w:rFonts w:eastAsia="Times New Roman" w:cstheme="minorHAnsi"/>
                <w:b/>
                <w:bCs/>
                <w:sz w:val="19"/>
                <w:szCs w:val="19"/>
                <w:bdr w:val="none" w:sz="0" w:space="0" w:color="auto" w:frame="1"/>
                <w:lang w:val="lv-LV" w:eastAsia="en-GB"/>
              </w:rPr>
              <w:t>as</w:t>
            </w:r>
            <w:proofErr w:type="spellEnd"/>
            <w:r w:rsidRPr="00844110">
              <w:rPr>
                <w:rFonts w:eastAsia="Times New Roman" w:cstheme="minorHAnsi"/>
                <w:b/>
                <w:bCs/>
                <w:sz w:val="19"/>
                <w:szCs w:val="19"/>
                <w:bdr w:val="none" w:sz="0" w:space="0" w:color="auto" w:frame="1"/>
                <w:lang w:val="lv-LV" w:eastAsia="en-GB"/>
              </w:rPr>
              <w:br/>
            </w:r>
            <w:r w:rsidRPr="00844110">
              <w:rPr>
                <w:rFonts w:eastAsia="Times New Roman" w:cstheme="minorHAnsi"/>
                <w:sz w:val="19"/>
                <w:szCs w:val="19"/>
                <w:lang w:val="lv-LV" w:eastAsia="en-GB"/>
              </w:rPr>
              <w:t>(piemēram, Latvijas iedzīvotāji darbspējas vecumā)</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581E5F9E" w14:textId="7AE0DB26" w:rsidR="00791DD4" w:rsidRPr="00E571C2" w:rsidRDefault="00E571C2" w:rsidP="00533AE3">
            <w:pPr>
              <w:spacing w:after="0" w:line="240" w:lineRule="auto"/>
              <w:contextualSpacing/>
              <w:jc w:val="both"/>
              <w:rPr>
                <w:rFonts w:eastAsia="Times New Roman" w:cstheme="minorHAnsi"/>
                <w:sz w:val="19"/>
                <w:szCs w:val="19"/>
                <w:lang w:val="lv-LV" w:eastAsia="en-GB"/>
              </w:rPr>
            </w:pPr>
            <w:r w:rsidRPr="00E571C2">
              <w:rPr>
                <w:rFonts w:cstheme="minorHAnsi"/>
                <w:sz w:val="19"/>
                <w:szCs w:val="19"/>
                <w:lang w:val="lv-LV" w:eastAsia="lv-LV"/>
              </w:rPr>
              <w:t>Latvijas iedzīvotāji vecumā no 18 gadiem (reprezentatīva izlase pēc dzimuma, vecuma, reģiona un tautības).</w:t>
            </w:r>
          </w:p>
        </w:tc>
      </w:tr>
      <w:tr w:rsidR="00A73B49" w:rsidRPr="0064188C" w14:paraId="6A2A6968"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5FA2E05E"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Pētījumā izmantotās metodes pēc informācijas ieguves veida:</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068652FD"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p>
        </w:tc>
      </w:tr>
      <w:tr w:rsidR="00533AE3" w:rsidRPr="00844110" w14:paraId="7562427B"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32BDFBA7"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1) tiesību aktu vai politikas plānošanas dokumentu analīze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3D6C0E02" w14:textId="06286513" w:rsidR="00533AE3" w:rsidRPr="00844110" w:rsidRDefault="00FD3539" w:rsidP="00533AE3">
            <w:pPr>
              <w:spacing w:after="0" w:line="240" w:lineRule="auto"/>
              <w:contextualSpacing/>
              <w:jc w:val="center"/>
              <w:rPr>
                <w:rFonts w:eastAsia="Times New Roman" w:cstheme="minorHAnsi"/>
                <w:sz w:val="19"/>
                <w:szCs w:val="19"/>
                <w:lang w:val="lv-LV" w:eastAsia="en-GB"/>
              </w:rPr>
            </w:pPr>
            <w:r>
              <w:rPr>
                <w:rFonts w:eastAsia="Times New Roman" w:cstheme="minorHAnsi"/>
                <w:sz w:val="19"/>
                <w:szCs w:val="19"/>
                <w:lang w:val="lv-LV" w:eastAsia="en-GB"/>
              </w:rPr>
              <w:t>Nav</w:t>
            </w:r>
            <w:r w:rsidR="00533AE3" w:rsidRPr="00844110">
              <w:rPr>
                <w:rFonts w:eastAsia="Times New Roman" w:cstheme="minorHAnsi"/>
                <w:sz w:val="19"/>
                <w:szCs w:val="19"/>
                <w:lang w:val="lv-LV" w:eastAsia="en-GB"/>
              </w:rPr>
              <w:t xml:space="preserve"> izmantota</w:t>
            </w:r>
          </w:p>
        </w:tc>
      </w:tr>
      <w:tr w:rsidR="00533AE3" w:rsidRPr="00844110" w14:paraId="686EF81E"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1396D529"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2) statistikas datu analīze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1C7C5253" w14:textId="311DADBA" w:rsidR="00533AE3" w:rsidRPr="00844110" w:rsidRDefault="00FD3539" w:rsidP="00533AE3">
            <w:pPr>
              <w:spacing w:after="0" w:line="240" w:lineRule="auto"/>
              <w:contextualSpacing/>
              <w:jc w:val="center"/>
              <w:rPr>
                <w:rFonts w:eastAsia="Times New Roman" w:cstheme="minorHAnsi"/>
                <w:sz w:val="19"/>
                <w:szCs w:val="19"/>
                <w:lang w:val="lv-LV" w:eastAsia="en-GB"/>
              </w:rPr>
            </w:pPr>
            <w:r>
              <w:rPr>
                <w:rFonts w:eastAsia="Times New Roman" w:cstheme="minorHAnsi"/>
                <w:sz w:val="19"/>
                <w:szCs w:val="19"/>
                <w:lang w:val="lv-LV" w:eastAsia="en-GB"/>
              </w:rPr>
              <w:t>Nav</w:t>
            </w:r>
            <w:r w:rsidRPr="00844110">
              <w:rPr>
                <w:rFonts w:eastAsia="Times New Roman" w:cstheme="minorHAnsi"/>
                <w:sz w:val="19"/>
                <w:szCs w:val="19"/>
                <w:lang w:val="lv-LV" w:eastAsia="en-GB"/>
              </w:rPr>
              <w:t xml:space="preserve"> izmantota</w:t>
            </w:r>
          </w:p>
        </w:tc>
      </w:tr>
      <w:tr w:rsidR="00533AE3" w:rsidRPr="00844110" w14:paraId="4115DDCD"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78FDE5F9"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3) esošo pētījumu datu sekundārā analīze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3F6C8422" w14:textId="4A3825B5" w:rsidR="00533AE3" w:rsidRPr="00844110" w:rsidRDefault="00FD3539" w:rsidP="00533AE3">
            <w:pPr>
              <w:spacing w:after="0" w:line="240" w:lineRule="auto"/>
              <w:contextualSpacing/>
              <w:jc w:val="center"/>
              <w:rPr>
                <w:rFonts w:eastAsia="Times New Roman" w:cstheme="minorHAnsi"/>
                <w:sz w:val="19"/>
                <w:szCs w:val="19"/>
                <w:lang w:val="lv-LV" w:eastAsia="en-GB"/>
              </w:rPr>
            </w:pPr>
            <w:r>
              <w:rPr>
                <w:rFonts w:eastAsia="Times New Roman" w:cstheme="minorHAnsi"/>
                <w:sz w:val="19"/>
                <w:szCs w:val="19"/>
                <w:lang w:val="lv-LV" w:eastAsia="en-GB"/>
              </w:rPr>
              <w:t>Nav</w:t>
            </w:r>
            <w:r w:rsidRPr="00844110">
              <w:rPr>
                <w:rFonts w:eastAsia="Times New Roman" w:cstheme="minorHAnsi"/>
                <w:sz w:val="19"/>
                <w:szCs w:val="19"/>
                <w:lang w:val="lv-LV" w:eastAsia="en-GB"/>
              </w:rPr>
              <w:t xml:space="preserve"> izmantota</w:t>
            </w:r>
          </w:p>
        </w:tc>
      </w:tr>
      <w:tr w:rsidR="00533AE3" w:rsidRPr="00844110" w14:paraId="23179A3F"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0FB92298"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4) padziļināto/ekspertu interviju veikšana un analīze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4C70EBEC" w14:textId="27FA320B" w:rsidR="00533AE3" w:rsidRPr="00844110" w:rsidRDefault="00560BD9" w:rsidP="00533AE3">
            <w:pPr>
              <w:spacing w:after="0" w:line="240" w:lineRule="auto"/>
              <w:contextualSpacing/>
              <w:jc w:val="center"/>
              <w:rPr>
                <w:rFonts w:eastAsia="Times New Roman" w:cstheme="minorHAnsi"/>
                <w:sz w:val="19"/>
                <w:szCs w:val="19"/>
                <w:lang w:val="lv-LV" w:eastAsia="en-GB"/>
              </w:rPr>
            </w:pPr>
            <w:r>
              <w:rPr>
                <w:rFonts w:eastAsia="Times New Roman" w:cstheme="minorHAnsi"/>
                <w:sz w:val="19"/>
                <w:szCs w:val="19"/>
                <w:lang w:val="lv-LV" w:eastAsia="en-GB"/>
              </w:rPr>
              <w:t xml:space="preserve">Nav </w:t>
            </w:r>
            <w:r w:rsidR="00533AE3" w:rsidRPr="00844110">
              <w:rPr>
                <w:rFonts w:eastAsia="Times New Roman" w:cstheme="minorHAnsi"/>
                <w:sz w:val="19"/>
                <w:szCs w:val="19"/>
                <w:lang w:val="lv-LV" w:eastAsia="en-GB"/>
              </w:rPr>
              <w:t xml:space="preserve"> izmantota</w:t>
            </w:r>
          </w:p>
        </w:tc>
      </w:tr>
      <w:tr w:rsidR="00533AE3" w:rsidRPr="00844110" w14:paraId="6CD49ACA"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1FAB91F0"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5) fokusa grupu diskusiju veikšana un analīze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140A5E69" w14:textId="02C4D086" w:rsidR="00533AE3" w:rsidRPr="00844110" w:rsidRDefault="00FD3539" w:rsidP="00533AE3">
            <w:pPr>
              <w:spacing w:after="0" w:line="240" w:lineRule="auto"/>
              <w:contextualSpacing/>
              <w:jc w:val="center"/>
              <w:rPr>
                <w:rFonts w:eastAsia="Times New Roman" w:cstheme="minorHAnsi"/>
                <w:sz w:val="19"/>
                <w:szCs w:val="19"/>
                <w:lang w:val="lv-LV" w:eastAsia="en-GB"/>
              </w:rPr>
            </w:pPr>
            <w:r>
              <w:rPr>
                <w:rFonts w:eastAsia="Times New Roman" w:cstheme="minorHAnsi"/>
                <w:sz w:val="19"/>
                <w:szCs w:val="19"/>
                <w:lang w:val="lv-LV" w:eastAsia="en-GB"/>
              </w:rPr>
              <w:t>Nav</w:t>
            </w:r>
            <w:r w:rsidRPr="00844110">
              <w:rPr>
                <w:rFonts w:eastAsia="Times New Roman" w:cstheme="minorHAnsi"/>
                <w:sz w:val="19"/>
                <w:szCs w:val="19"/>
                <w:lang w:val="lv-LV" w:eastAsia="en-GB"/>
              </w:rPr>
              <w:t xml:space="preserve"> izmantota</w:t>
            </w:r>
          </w:p>
        </w:tc>
      </w:tr>
      <w:tr w:rsidR="00533AE3" w:rsidRPr="00844110" w14:paraId="2515E4DC"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30CFF43F"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6) gadījumu izpēte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34D9DD91" w14:textId="2FE3C439" w:rsidR="00533AE3" w:rsidRPr="00844110" w:rsidRDefault="00EE7DB4" w:rsidP="00533AE3">
            <w:pPr>
              <w:spacing w:after="0" w:line="240" w:lineRule="auto"/>
              <w:contextualSpacing/>
              <w:jc w:val="center"/>
              <w:rPr>
                <w:rFonts w:eastAsia="Times New Roman" w:cstheme="minorHAnsi"/>
                <w:sz w:val="19"/>
                <w:szCs w:val="19"/>
                <w:lang w:val="lv-LV" w:eastAsia="en-GB"/>
              </w:rPr>
            </w:pPr>
            <w:r w:rsidRPr="00844110">
              <w:rPr>
                <w:rFonts w:eastAsia="Times New Roman" w:cstheme="minorHAnsi"/>
                <w:sz w:val="19"/>
                <w:szCs w:val="19"/>
                <w:lang w:val="lv-LV" w:eastAsia="en-GB"/>
              </w:rPr>
              <w:t>Nav</w:t>
            </w:r>
            <w:r w:rsidR="00533AE3" w:rsidRPr="00844110">
              <w:rPr>
                <w:rFonts w:eastAsia="Times New Roman" w:cstheme="minorHAnsi"/>
                <w:sz w:val="19"/>
                <w:szCs w:val="19"/>
                <w:lang w:val="lv-LV" w:eastAsia="en-GB"/>
              </w:rPr>
              <w:t xml:space="preserve"> izmantota</w:t>
            </w:r>
          </w:p>
        </w:tc>
      </w:tr>
      <w:tr w:rsidR="00533AE3" w:rsidRPr="00844110" w14:paraId="0F60B5A1"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28FA76CD"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7) kvantitatīvās aptaujas veikšana un datu analīze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2BAC630D" w14:textId="0128ABF2" w:rsidR="00533AE3" w:rsidRPr="00844110" w:rsidRDefault="0039745E" w:rsidP="00533AE3">
            <w:pPr>
              <w:spacing w:after="0" w:line="240" w:lineRule="auto"/>
              <w:contextualSpacing/>
              <w:jc w:val="center"/>
              <w:rPr>
                <w:rFonts w:eastAsia="Times New Roman" w:cstheme="minorHAnsi"/>
                <w:sz w:val="19"/>
                <w:szCs w:val="19"/>
                <w:lang w:val="lv-LV" w:eastAsia="en-GB"/>
              </w:rPr>
            </w:pPr>
            <w:r w:rsidRPr="00844110">
              <w:rPr>
                <w:rFonts w:eastAsia="Times New Roman" w:cstheme="minorHAnsi"/>
                <w:sz w:val="19"/>
                <w:szCs w:val="19"/>
                <w:lang w:val="lv-LV" w:eastAsia="en-GB"/>
              </w:rPr>
              <w:t>Ir</w:t>
            </w:r>
            <w:r w:rsidR="00533AE3" w:rsidRPr="00844110">
              <w:rPr>
                <w:rFonts w:eastAsia="Times New Roman" w:cstheme="minorHAnsi"/>
                <w:sz w:val="19"/>
                <w:szCs w:val="19"/>
                <w:lang w:val="lv-LV" w:eastAsia="en-GB"/>
              </w:rPr>
              <w:t xml:space="preserve"> izmantota</w:t>
            </w:r>
          </w:p>
        </w:tc>
      </w:tr>
      <w:tr w:rsidR="00533AE3" w:rsidRPr="00844110" w14:paraId="06266CC8"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72767945" w14:textId="4C064005"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8) citas metodes (norādīt, kādas)</w:t>
            </w:r>
            <w:r w:rsidR="00560BD9">
              <w:rPr>
                <w:rFonts w:eastAsia="Times New Roman" w:cstheme="minorHAnsi"/>
                <w:sz w:val="19"/>
                <w:szCs w:val="19"/>
                <w:lang w:val="lv-LV" w:eastAsia="en-GB"/>
              </w:rPr>
              <w:t xml:space="preserve"> </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461747B3" w14:textId="350E669E" w:rsidR="00533AE3" w:rsidRPr="00844110" w:rsidRDefault="00FD3539" w:rsidP="00533AE3">
            <w:pPr>
              <w:spacing w:after="0" w:line="240" w:lineRule="auto"/>
              <w:contextualSpacing/>
              <w:jc w:val="center"/>
              <w:rPr>
                <w:rFonts w:eastAsia="Times New Roman" w:cstheme="minorHAnsi"/>
                <w:sz w:val="19"/>
                <w:szCs w:val="19"/>
                <w:lang w:val="lv-LV" w:eastAsia="en-GB"/>
              </w:rPr>
            </w:pPr>
            <w:r>
              <w:rPr>
                <w:rFonts w:eastAsia="Times New Roman" w:cstheme="minorHAnsi"/>
                <w:sz w:val="19"/>
                <w:szCs w:val="19"/>
                <w:lang w:val="lv-LV" w:eastAsia="en-GB"/>
              </w:rPr>
              <w:t>Nav</w:t>
            </w:r>
            <w:r w:rsidRPr="00844110">
              <w:rPr>
                <w:rFonts w:eastAsia="Times New Roman" w:cstheme="minorHAnsi"/>
                <w:sz w:val="19"/>
                <w:szCs w:val="19"/>
                <w:lang w:val="lv-LV" w:eastAsia="en-GB"/>
              </w:rPr>
              <w:t xml:space="preserve"> izmantota</w:t>
            </w:r>
          </w:p>
        </w:tc>
      </w:tr>
      <w:tr w:rsidR="00A73B49" w:rsidRPr="00375472" w14:paraId="4E6EA4ED"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0B27E477" w14:textId="77777777" w:rsidR="00B37E42" w:rsidRPr="00844110" w:rsidRDefault="00B37E42" w:rsidP="00A73B49">
            <w:pPr>
              <w:spacing w:after="0" w:line="240" w:lineRule="auto"/>
              <w:contextualSpacing/>
              <w:rPr>
                <w:rFonts w:eastAsia="Times New Roman" w:cstheme="minorHAnsi"/>
                <w:sz w:val="19"/>
                <w:szCs w:val="19"/>
                <w:lang w:val="lv-LV" w:eastAsia="en-GB"/>
              </w:rPr>
            </w:pPr>
            <w:r w:rsidRPr="00844110">
              <w:rPr>
                <w:rFonts w:eastAsia="Times New Roman" w:cstheme="minorHAnsi"/>
                <w:b/>
                <w:bCs/>
                <w:sz w:val="19"/>
                <w:szCs w:val="19"/>
                <w:bdr w:val="none" w:sz="0" w:space="0" w:color="auto" w:frame="1"/>
                <w:lang w:val="lv-LV" w:eastAsia="en-GB"/>
              </w:rPr>
              <w:t>Kvantitatīvās pētījuma metodes</w:t>
            </w:r>
            <w:r w:rsidRPr="00844110">
              <w:rPr>
                <w:rFonts w:eastAsia="Times New Roman" w:cstheme="minorHAnsi"/>
                <w:b/>
                <w:bCs/>
                <w:sz w:val="19"/>
                <w:szCs w:val="19"/>
                <w:bdr w:val="none" w:sz="0" w:space="0" w:color="auto" w:frame="1"/>
                <w:lang w:val="lv-LV" w:eastAsia="en-GB"/>
              </w:rPr>
              <w:br/>
            </w:r>
            <w:r w:rsidRPr="00844110">
              <w:rPr>
                <w:rFonts w:eastAsia="Times New Roman" w:cstheme="minorHAnsi"/>
                <w:sz w:val="19"/>
                <w:szCs w:val="19"/>
                <w:lang w:val="lv-LV" w:eastAsia="en-GB"/>
              </w:rPr>
              <w:t>(ja attiecināms):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1474585D" w14:textId="77777777" w:rsidR="00B37E42" w:rsidRPr="00844110" w:rsidRDefault="00B37E42" w:rsidP="00A73B49">
            <w:pPr>
              <w:spacing w:after="0" w:line="240" w:lineRule="auto"/>
              <w:contextualSpacing/>
              <w:rPr>
                <w:rFonts w:eastAsia="Times New Roman" w:cstheme="minorHAnsi"/>
                <w:sz w:val="19"/>
                <w:szCs w:val="19"/>
                <w:lang w:val="lv-LV" w:eastAsia="en-GB"/>
              </w:rPr>
            </w:pPr>
          </w:p>
        </w:tc>
      </w:tr>
      <w:tr w:rsidR="00533AE3" w:rsidRPr="00511C4B" w14:paraId="52058BFF"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4AC54760"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1) aptaujas izlases metode</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0D500612" w14:textId="190DB985" w:rsidR="00560BD9" w:rsidRPr="00FD3539" w:rsidRDefault="00560BD9" w:rsidP="00FD3539">
            <w:pPr>
              <w:spacing w:after="0" w:line="240" w:lineRule="auto"/>
              <w:contextualSpacing/>
              <w:jc w:val="center"/>
              <w:rPr>
                <w:rFonts w:eastAsia="Calibri" w:cstheme="minorHAnsi"/>
                <w:sz w:val="19"/>
                <w:szCs w:val="19"/>
                <w:lang w:val="lv-LV"/>
              </w:rPr>
            </w:pPr>
            <w:r w:rsidRPr="00A945F6">
              <w:rPr>
                <w:rFonts w:eastAsia="Times New Roman" w:cstheme="minorHAnsi"/>
                <w:b/>
                <w:bCs/>
                <w:sz w:val="19"/>
                <w:szCs w:val="19"/>
                <w:lang w:val="lv-LV" w:eastAsia="en-GB"/>
              </w:rPr>
              <w:t>Iedzīvotāju</w:t>
            </w:r>
            <w:r w:rsidR="00EE7DB4" w:rsidRPr="00A945F6">
              <w:rPr>
                <w:rFonts w:eastAsia="Times New Roman" w:cstheme="minorHAnsi"/>
                <w:b/>
                <w:bCs/>
                <w:sz w:val="19"/>
                <w:szCs w:val="19"/>
                <w:lang w:val="lv-LV" w:eastAsia="en-GB"/>
              </w:rPr>
              <w:t xml:space="preserve"> </w:t>
            </w:r>
            <w:r w:rsidR="00844110" w:rsidRPr="00A945F6">
              <w:rPr>
                <w:rFonts w:eastAsia="Times New Roman" w:cstheme="minorHAnsi"/>
                <w:b/>
                <w:bCs/>
                <w:sz w:val="19"/>
                <w:szCs w:val="19"/>
                <w:lang w:val="lv-LV" w:eastAsia="en-GB"/>
              </w:rPr>
              <w:t>a</w:t>
            </w:r>
            <w:r w:rsidR="00EE7DB4" w:rsidRPr="00A945F6">
              <w:rPr>
                <w:rFonts w:eastAsia="Calibri" w:cstheme="minorHAnsi"/>
                <w:b/>
                <w:bCs/>
                <w:sz w:val="19"/>
                <w:szCs w:val="19"/>
                <w:lang w:val="lv-LV"/>
              </w:rPr>
              <w:t>ptaujas metode</w:t>
            </w:r>
            <w:r w:rsidR="00EE7DB4" w:rsidRPr="00844110">
              <w:rPr>
                <w:rFonts w:eastAsia="Calibri" w:cstheme="minorHAnsi"/>
                <w:sz w:val="19"/>
                <w:szCs w:val="19"/>
                <w:lang w:val="lv-LV"/>
              </w:rPr>
              <w:t xml:space="preserve"> - </w:t>
            </w:r>
            <w:r w:rsidR="00E571C2">
              <w:rPr>
                <w:rFonts w:eastAsia="Calibri" w:cstheme="minorHAnsi"/>
                <w:sz w:val="19"/>
                <w:szCs w:val="19"/>
                <w:lang w:val="lv-LV"/>
              </w:rPr>
              <w:t>interneta</w:t>
            </w:r>
            <w:r w:rsidR="00EE7DB4" w:rsidRPr="00844110">
              <w:rPr>
                <w:rFonts w:eastAsia="Calibri" w:cstheme="minorHAnsi"/>
                <w:sz w:val="19"/>
                <w:szCs w:val="19"/>
                <w:lang w:val="lv-LV"/>
              </w:rPr>
              <w:t xml:space="preserve"> intervijas (</w:t>
            </w:r>
            <w:r w:rsidR="00E571C2">
              <w:rPr>
                <w:rFonts w:eastAsia="Calibri" w:cstheme="minorHAnsi"/>
                <w:sz w:val="19"/>
                <w:szCs w:val="19"/>
                <w:lang w:val="lv-LV"/>
              </w:rPr>
              <w:t>CAWI</w:t>
            </w:r>
            <w:r w:rsidR="00EE7DB4" w:rsidRPr="00844110">
              <w:rPr>
                <w:rFonts w:eastAsia="Calibri" w:cstheme="minorHAnsi"/>
                <w:sz w:val="19"/>
                <w:szCs w:val="19"/>
                <w:lang w:val="lv-LV"/>
              </w:rPr>
              <w:t xml:space="preserve"> metode)</w:t>
            </w:r>
          </w:p>
        </w:tc>
      </w:tr>
      <w:tr w:rsidR="00533AE3" w:rsidRPr="00FD3539" w14:paraId="72B5BD7A"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460A75B7"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2) aptaujāto/anketēto respondentu/vienību skaits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1A52B9FC" w14:textId="2A5C7F39" w:rsidR="00560BD9" w:rsidRPr="00844110" w:rsidRDefault="00560BD9" w:rsidP="00FD3539">
            <w:pPr>
              <w:spacing w:after="0" w:line="240" w:lineRule="auto"/>
              <w:contextualSpacing/>
              <w:jc w:val="center"/>
              <w:rPr>
                <w:rFonts w:eastAsia="Times New Roman" w:cstheme="minorHAnsi"/>
                <w:sz w:val="19"/>
                <w:szCs w:val="19"/>
                <w:lang w:val="lv-LV" w:eastAsia="en-GB"/>
              </w:rPr>
            </w:pPr>
            <w:r>
              <w:rPr>
                <w:rFonts w:eastAsia="Times New Roman" w:cstheme="minorHAnsi"/>
                <w:sz w:val="19"/>
                <w:szCs w:val="19"/>
                <w:lang w:val="lv-LV" w:eastAsia="en-GB"/>
              </w:rPr>
              <w:t xml:space="preserve">Iedzīvotāju aptauja  </w:t>
            </w:r>
            <w:r w:rsidR="00EE7DB4" w:rsidRPr="00844110">
              <w:rPr>
                <w:rFonts w:eastAsia="Times New Roman" w:cstheme="minorHAnsi"/>
                <w:sz w:val="19"/>
                <w:szCs w:val="19"/>
                <w:lang w:val="lv-LV" w:eastAsia="en-GB"/>
              </w:rPr>
              <w:t>N=</w:t>
            </w:r>
            <w:r w:rsidR="00E571C2">
              <w:rPr>
                <w:rFonts w:eastAsia="Times New Roman" w:cstheme="minorHAnsi"/>
                <w:sz w:val="19"/>
                <w:szCs w:val="19"/>
                <w:lang w:val="lv-LV" w:eastAsia="en-GB"/>
              </w:rPr>
              <w:t>1008</w:t>
            </w:r>
          </w:p>
        </w:tc>
      </w:tr>
      <w:tr w:rsidR="00A73B49" w:rsidRPr="0064188C" w14:paraId="138826D6"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4132F5B8" w14:textId="77777777" w:rsidR="00B37E42" w:rsidRPr="00844110" w:rsidRDefault="00B37E42" w:rsidP="00A73B49">
            <w:pPr>
              <w:spacing w:after="0" w:line="240" w:lineRule="auto"/>
              <w:contextualSpacing/>
              <w:rPr>
                <w:rFonts w:eastAsia="Times New Roman" w:cstheme="minorHAnsi"/>
                <w:sz w:val="19"/>
                <w:szCs w:val="19"/>
                <w:lang w:val="lv-LV" w:eastAsia="en-GB"/>
              </w:rPr>
            </w:pPr>
            <w:r w:rsidRPr="00844110">
              <w:rPr>
                <w:rFonts w:eastAsia="Times New Roman" w:cstheme="minorHAnsi"/>
                <w:b/>
                <w:bCs/>
                <w:sz w:val="19"/>
                <w:szCs w:val="19"/>
                <w:bdr w:val="none" w:sz="0" w:space="0" w:color="auto" w:frame="1"/>
                <w:lang w:val="lv-LV" w:eastAsia="en-GB"/>
              </w:rPr>
              <w:t>Kvalitatīvās pētījuma metodes</w:t>
            </w:r>
            <w:r w:rsidRPr="00844110">
              <w:rPr>
                <w:rFonts w:eastAsia="Times New Roman" w:cstheme="minorHAnsi"/>
                <w:b/>
                <w:bCs/>
                <w:sz w:val="19"/>
                <w:szCs w:val="19"/>
                <w:bdr w:val="none" w:sz="0" w:space="0" w:color="auto" w:frame="1"/>
                <w:lang w:val="lv-LV" w:eastAsia="en-GB"/>
              </w:rPr>
              <w:br/>
            </w:r>
            <w:r w:rsidRPr="00844110">
              <w:rPr>
                <w:rFonts w:eastAsia="Times New Roman" w:cstheme="minorHAnsi"/>
                <w:sz w:val="19"/>
                <w:szCs w:val="19"/>
                <w:lang w:val="lv-LV" w:eastAsia="en-GB"/>
              </w:rPr>
              <w:t>(ja attiecināms):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5B096C2F" w14:textId="77777777" w:rsidR="00B37E42" w:rsidRPr="00844110" w:rsidRDefault="00B37E42" w:rsidP="00A73B49">
            <w:pPr>
              <w:spacing w:after="0" w:line="240" w:lineRule="auto"/>
              <w:contextualSpacing/>
              <w:rPr>
                <w:rFonts w:eastAsia="Times New Roman" w:cstheme="minorHAnsi"/>
                <w:sz w:val="19"/>
                <w:szCs w:val="19"/>
                <w:lang w:val="lv-LV" w:eastAsia="en-GB"/>
              </w:rPr>
            </w:pPr>
          </w:p>
        </w:tc>
      </w:tr>
      <w:tr w:rsidR="00533AE3" w:rsidRPr="00844110" w14:paraId="6597C9E3"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5453D3F6"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1) padziļināto/ekspertu interviju skaits (ja attiecināms)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2EF77031" w14:textId="4872189B" w:rsidR="00533AE3" w:rsidRPr="00844110" w:rsidRDefault="00EE7DB4" w:rsidP="00533AE3">
            <w:pPr>
              <w:spacing w:after="0" w:line="240" w:lineRule="auto"/>
              <w:contextualSpacing/>
              <w:jc w:val="center"/>
              <w:rPr>
                <w:rFonts w:eastAsia="Times New Roman" w:cstheme="minorHAnsi"/>
                <w:sz w:val="19"/>
                <w:szCs w:val="19"/>
                <w:lang w:val="lv-LV" w:eastAsia="en-GB"/>
              </w:rPr>
            </w:pPr>
            <w:r w:rsidRPr="00844110">
              <w:rPr>
                <w:rFonts w:eastAsia="Times New Roman" w:cstheme="minorHAnsi"/>
                <w:sz w:val="19"/>
                <w:szCs w:val="19"/>
                <w:lang w:val="lv-LV" w:eastAsia="en-GB"/>
              </w:rPr>
              <w:t>Nav izmanto</w:t>
            </w:r>
            <w:r w:rsidR="00FD3539">
              <w:rPr>
                <w:rFonts w:eastAsia="Times New Roman" w:cstheme="minorHAnsi"/>
                <w:sz w:val="19"/>
                <w:szCs w:val="19"/>
                <w:lang w:val="lv-LV" w:eastAsia="en-GB"/>
              </w:rPr>
              <w:t>t</w:t>
            </w:r>
            <w:r w:rsidRPr="00844110">
              <w:rPr>
                <w:rFonts w:eastAsia="Times New Roman" w:cstheme="minorHAnsi"/>
                <w:sz w:val="19"/>
                <w:szCs w:val="19"/>
                <w:lang w:val="lv-LV" w:eastAsia="en-GB"/>
              </w:rPr>
              <w:t>a</w:t>
            </w:r>
          </w:p>
        </w:tc>
      </w:tr>
      <w:tr w:rsidR="00533AE3" w:rsidRPr="00844110" w14:paraId="5E71D19E"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3BD5AB4D" w14:textId="77777777" w:rsidR="00533AE3" w:rsidRPr="00844110" w:rsidRDefault="00533AE3" w:rsidP="00533AE3">
            <w:pPr>
              <w:spacing w:after="0" w:line="240" w:lineRule="auto"/>
              <w:ind w:left="106"/>
              <w:contextualSpacing/>
              <w:rPr>
                <w:rFonts w:eastAsia="Times New Roman" w:cstheme="minorHAnsi"/>
                <w:sz w:val="19"/>
                <w:szCs w:val="19"/>
                <w:lang w:val="lv-LV" w:eastAsia="en-GB"/>
              </w:rPr>
            </w:pPr>
            <w:r w:rsidRPr="00844110">
              <w:rPr>
                <w:rFonts w:eastAsia="Times New Roman" w:cstheme="minorHAnsi"/>
                <w:sz w:val="19"/>
                <w:szCs w:val="19"/>
                <w:lang w:val="lv-LV" w:eastAsia="en-GB"/>
              </w:rPr>
              <w:t>2) fokusa grupu diskusiju skaits (ja attiecināms)</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0F197388" w14:textId="62BC2ECF" w:rsidR="00533AE3" w:rsidRPr="00844110" w:rsidRDefault="00FD3539" w:rsidP="00533AE3">
            <w:pPr>
              <w:spacing w:after="0" w:line="240" w:lineRule="auto"/>
              <w:contextualSpacing/>
              <w:jc w:val="center"/>
              <w:rPr>
                <w:rFonts w:eastAsia="Times New Roman" w:cstheme="minorHAnsi"/>
                <w:sz w:val="19"/>
                <w:szCs w:val="19"/>
                <w:lang w:val="lv-LV" w:eastAsia="en-GB"/>
              </w:rPr>
            </w:pPr>
            <w:r w:rsidRPr="00844110">
              <w:rPr>
                <w:rFonts w:eastAsia="Times New Roman" w:cstheme="minorHAnsi"/>
                <w:sz w:val="19"/>
                <w:szCs w:val="19"/>
                <w:lang w:val="lv-LV" w:eastAsia="en-GB"/>
              </w:rPr>
              <w:t>Nav izmanto</w:t>
            </w:r>
            <w:r>
              <w:rPr>
                <w:rFonts w:eastAsia="Times New Roman" w:cstheme="minorHAnsi"/>
                <w:sz w:val="19"/>
                <w:szCs w:val="19"/>
                <w:lang w:val="lv-LV" w:eastAsia="en-GB"/>
              </w:rPr>
              <w:t>t</w:t>
            </w:r>
            <w:r w:rsidRPr="00844110">
              <w:rPr>
                <w:rFonts w:eastAsia="Times New Roman" w:cstheme="minorHAnsi"/>
                <w:sz w:val="19"/>
                <w:szCs w:val="19"/>
                <w:lang w:val="lv-LV" w:eastAsia="en-GB"/>
              </w:rPr>
              <w:t>a</w:t>
            </w:r>
          </w:p>
        </w:tc>
      </w:tr>
      <w:tr w:rsidR="00A73B49" w:rsidRPr="0064188C" w14:paraId="319E2B3D"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4F83707E"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Izmantotās analīzes grupas (griezumi)</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007F604D" w14:textId="576F0268" w:rsidR="00B37E42" w:rsidRPr="003E3CED" w:rsidRDefault="003E3CED" w:rsidP="00533AE3">
            <w:pPr>
              <w:spacing w:after="0" w:line="240" w:lineRule="auto"/>
              <w:contextualSpacing/>
              <w:jc w:val="both"/>
              <w:rPr>
                <w:rFonts w:eastAsia="Times New Roman" w:cstheme="minorHAnsi"/>
                <w:sz w:val="19"/>
                <w:szCs w:val="19"/>
                <w:lang w:val="lv-LV" w:eastAsia="en-GB"/>
              </w:rPr>
            </w:pPr>
            <w:r w:rsidRPr="003E3CED">
              <w:rPr>
                <w:rFonts w:eastAsia="Times New Roman" w:cstheme="minorHAnsi"/>
                <w:sz w:val="19"/>
                <w:szCs w:val="19"/>
                <w:bdr w:val="none" w:sz="0" w:space="0" w:color="auto" w:frame="1"/>
                <w:lang w:val="lv-LV" w:eastAsia="en-GB"/>
              </w:rPr>
              <w:t>Sabiedrības sociāli demogrāfiskās grupas (dzimums, vecums, reģions, izglītība, ienākumu līmenis, nodarbinātības statuss).</w:t>
            </w:r>
          </w:p>
        </w:tc>
      </w:tr>
      <w:tr w:rsidR="00A73B49" w:rsidRPr="0064188C" w14:paraId="5FA1884D" w14:textId="77777777" w:rsidTr="00BA4BBB">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1BED7EA8" w14:textId="77777777"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lastRenderedPageBreak/>
              <w:t>Pētījuma pasūtītāja kontaktinformācija</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0120BA8E" w14:textId="4CA9AA65" w:rsidR="00B37E42" w:rsidRPr="00E571C2" w:rsidRDefault="00E571C2" w:rsidP="00FD3539">
            <w:pPr>
              <w:spacing w:after="0" w:line="240" w:lineRule="auto"/>
              <w:contextualSpacing/>
              <w:rPr>
                <w:rFonts w:cstheme="minorHAnsi"/>
                <w:color w:val="000000"/>
                <w:sz w:val="19"/>
                <w:szCs w:val="19"/>
                <w:lang w:val="lv-LV" w:eastAsia="lv-LV"/>
              </w:rPr>
            </w:pPr>
            <w:r w:rsidRPr="00E571C2">
              <w:rPr>
                <w:rFonts w:cstheme="minorHAnsi"/>
                <w:sz w:val="19"/>
                <w:szCs w:val="19"/>
                <w:lang w:val="lv-LV"/>
              </w:rPr>
              <w:t xml:space="preserve">Finanšu izlūkošanas dienests (FID), </w:t>
            </w:r>
            <w:proofErr w:type="spellStart"/>
            <w:r w:rsidRPr="00E571C2">
              <w:rPr>
                <w:rFonts w:cstheme="minorHAnsi"/>
                <w:sz w:val="19"/>
                <w:szCs w:val="19"/>
                <w:lang w:val="lv-LV"/>
              </w:rPr>
              <w:t>reģ</w:t>
            </w:r>
            <w:proofErr w:type="spellEnd"/>
            <w:r w:rsidRPr="00E571C2">
              <w:rPr>
                <w:rFonts w:cstheme="minorHAnsi"/>
                <w:sz w:val="19"/>
                <w:szCs w:val="19"/>
                <w:lang w:val="lv-LV"/>
              </w:rPr>
              <w:t>. nr. 40900025406, Vaļņu iela 28, Rīga, Latvija.</w:t>
            </w:r>
            <w:r>
              <w:rPr>
                <w:rFonts w:cstheme="minorHAnsi"/>
                <w:sz w:val="19"/>
                <w:szCs w:val="19"/>
                <w:lang w:val="lv-LV"/>
              </w:rPr>
              <w:t xml:space="preserve"> </w:t>
            </w:r>
            <w:r w:rsidRPr="00E571C2">
              <w:rPr>
                <w:rFonts w:cstheme="minorHAnsi"/>
                <w:sz w:val="19"/>
                <w:szCs w:val="19"/>
                <w:lang w:val="lv-LV"/>
              </w:rPr>
              <w:t>Kontaktinformācija: iepirkumi@fid.gov.lv</w:t>
            </w:r>
            <w:r w:rsidRPr="00844110">
              <w:rPr>
                <w:rFonts w:cstheme="minorHAnsi"/>
                <w:color w:val="000000"/>
                <w:sz w:val="19"/>
                <w:szCs w:val="19"/>
                <w:lang w:val="lv-LV" w:eastAsia="lv-LV"/>
              </w:rPr>
              <w:t xml:space="preserve"> </w:t>
            </w:r>
            <w:r w:rsidR="00EE7DB4" w:rsidRPr="00844110">
              <w:rPr>
                <w:rFonts w:cstheme="minorHAnsi"/>
                <w:color w:val="000000"/>
                <w:sz w:val="19"/>
                <w:szCs w:val="19"/>
                <w:lang w:val="lv-LV" w:eastAsia="lv-LV"/>
              </w:rPr>
              <w:t>Pārstāvis:</w:t>
            </w:r>
            <w:r w:rsidR="00C30D6D" w:rsidRPr="00C30D6D">
              <w:rPr>
                <w:rFonts w:ascii="Arial" w:hAnsi="Arial" w:cs="Arial"/>
                <w:color w:val="000000"/>
                <w:lang w:val="lv-LV" w:eastAsia="en-GB"/>
                <w14:ligatures w14:val="standardContextual"/>
              </w:rPr>
              <w:t xml:space="preserve"> </w:t>
            </w:r>
            <w:r w:rsidRPr="003E3CED">
              <w:rPr>
                <w:rFonts w:cstheme="minorHAnsi"/>
                <w:color w:val="000000"/>
                <w:sz w:val="19"/>
                <w:szCs w:val="19"/>
                <w:lang w:val="lv-LV" w:eastAsia="lv-LV"/>
              </w:rPr>
              <w:t>Līga Kauranena</w:t>
            </w:r>
            <w:r w:rsidR="008A3E82" w:rsidRPr="003E3CED">
              <w:rPr>
                <w:rFonts w:cstheme="minorHAnsi"/>
                <w:color w:val="000000"/>
                <w:sz w:val="19"/>
                <w:szCs w:val="19"/>
                <w:lang w:val="lv-LV" w:eastAsia="lv-LV"/>
              </w:rPr>
              <w:t xml:space="preserve">, </w:t>
            </w:r>
            <w:r w:rsidRPr="003E3CED">
              <w:rPr>
                <w:rFonts w:cstheme="minorHAnsi"/>
                <w:color w:val="000000"/>
                <w:sz w:val="19"/>
                <w:szCs w:val="19"/>
                <w:lang w:val="lv-LV" w:eastAsia="lv-LV"/>
              </w:rPr>
              <w:t>Finanšu</w:t>
            </w:r>
            <w:r w:rsidRPr="00E571C2">
              <w:rPr>
                <w:rFonts w:cstheme="minorHAnsi"/>
                <w:color w:val="000000"/>
                <w:sz w:val="19"/>
                <w:szCs w:val="19"/>
                <w:lang w:val="lv-LV" w:eastAsia="lv-LV"/>
              </w:rPr>
              <w:t xml:space="preserve"> izlūkošanas dienests</w:t>
            </w:r>
            <w:r w:rsidRPr="00E571C2">
              <w:rPr>
                <w:rFonts w:cstheme="minorHAnsi"/>
                <w:color w:val="000000"/>
                <w:sz w:val="19"/>
                <w:szCs w:val="19"/>
                <w:lang w:val="lv-LV" w:eastAsia="lv-LV"/>
              </w:rPr>
              <w:br/>
              <w:t>Stratēģiskās attīstības un plānošanas nodaļas eksperte</w:t>
            </w:r>
          </w:p>
        </w:tc>
      </w:tr>
      <w:tr w:rsidR="00A73B49" w:rsidRPr="0064188C" w14:paraId="5F04D42F" w14:textId="77777777" w:rsidTr="00BA4BBB">
        <w:trPr>
          <w:trHeight w:val="312"/>
        </w:trPr>
        <w:tc>
          <w:tcPr>
            <w:tcW w:w="2456" w:type="pct"/>
            <w:tcBorders>
              <w:top w:val="outset" w:sz="6" w:space="0" w:color="414142"/>
              <w:left w:val="outset" w:sz="6" w:space="0" w:color="414142"/>
              <w:bottom w:val="outset" w:sz="6" w:space="0" w:color="414142"/>
              <w:right w:val="outset" w:sz="6" w:space="0" w:color="414142"/>
            </w:tcBorders>
            <w:shd w:val="clear" w:color="auto" w:fill="FFFFFF"/>
            <w:hideMark/>
          </w:tcPr>
          <w:p w14:paraId="52F6E8B2" w14:textId="637CF544" w:rsidR="00B37E42" w:rsidRPr="00844110" w:rsidRDefault="00B37E42" w:rsidP="00A73B49">
            <w:pPr>
              <w:spacing w:after="0" w:line="240" w:lineRule="auto"/>
              <w:contextualSpacing/>
              <w:rPr>
                <w:rFonts w:eastAsia="Times New Roman" w:cstheme="minorHAnsi"/>
                <w:b/>
                <w:bCs/>
                <w:sz w:val="19"/>
                <w:szCs w:val="19"/>
                <w:lang w:val="lv-LV" w:eastAsia="en-GB"/>
              </w:rPr>
            </w:pPr>
            <w:r w:rsidRPr="00844110">
              <w:rPr>
                <w:rFonts w:eastAsia="Times New Roman" w:cstheme="minorHAnsi"/>
                <w:b/>
                <w:bCs/>
                <w:sz w:val="19"/>
                <w:szCs w:val="19"/>
                <w:lang w:val="lv-LV" w:eastAsia="en-GB"/>
              </w:rPr>
              <w:t>Pētījuma autori (autortiesību subjekti)</w:t>
            </w:r>
          </w:p>
        </w:tc>
        <w:tc>
          <w:tcPr>
            <w:tcW w:w="2544" w:type="pct"/>
            <w:tcBorders>
              <w:top w:val="outset" w:sz="6" w:space="0" w:color="414142"/>
              <w:left w:val="outset" w:sz="6" w:space="0" w:color="414142"/>
              <w:bottom w:val="outset" w:sz="6" w:space="0" w:color="414142"/>
              <w:right w:val="outset" w:sz="6" w:space="0" w:color="414142"/>
            </w:tcBorders>
            <w:shd w:val="clear" w:color="auto" w:fill="FFFFFF"/>
            <w:hideMark/>
          </w:tcPr>
          <w:p w14:paraId="6549E5E1" w14:textId="7217D4D7" w:rsidR="00EE7DB4" w:rsidRPr="00844110" w:rsidRDefault="00E571C2" w:rsidP="00A73B49">
            <w:pPr>
              <w:spacing w:after="0" w:line="240" w:lineRule="auto"/>
              <w:contextualSpacing/>
              <w:rPr>
                <w:rFonts w:eastAsia="Times New Roman" w:cstheme="minorHAnsi"/>
                <w:b/>
                <w:bCs/>
                <w:sz w:val="19"/>
                <w:szCs w:val="19"/>
                <w:lang w:val="lv-LV" w:eastAsia="en-GB"/>
              </w:rPr>
            </w:pPr>
            <w:r>
              <w:rPr>
                <w:rFonts w:cstheme="minorHAnsi"/>
                <w:sz w:val="19"/>
                <w:szCs w:val="19"/>
                <w:lang w:val="lv-LV"/>
              </w:rPr>
              <w:t>S</w:t>
            </w:r>
            <w:r w:rsidR="00C30D6D">
              <w:rPr>
                <w:rFonts w:cstheme="minorHAnsi"/>
                <w:sz w:val="19"/>
                <w:szCs w:val="19"/>
                <w:lang w:val="lv-LV"/>
              </w:rPr>
              <w:t>abiedrība ar ierobežotu atbildību “</w:t>
            </w:r>
            <w:proofErr w:type="spellStart"/>
            <w:r w:rsidR="00C30D6D">
              <w:rPr>
                <w:rFonts w:cstheme="minorHAnsi"/>
                <w:sz w:val="19"/>
                <w:szCs w:val="19"/>
                <w:lang w:val="lv-LV"/>
              </w:rPr>
              <w:t>InnoMatrix</w:t>
            </w:r>
            <w:proofErr w:type="spellEnd"/>
            <w:r w:rsidR="00C30D6D">
              <w:rPr>
                <w:rFonts w:cstheme="minorHAnsi"/>
                <w:sz w:val="19"/>
                <w:szCs w:val="19"/>
                <w:lang w:val="lv-LV"/>
              </w:rPr>
              <w:t xml:space="preserve">”, </w:t>
            </w:r>
            <w:proofErr w:type="spellStart"/>
            <w:r w:rsidR="00C30D6D">
              <w:rPr>
                <w:rFonts w:cstheme="minorHAnsi"/>
                <w:sz w:val="19"/>
                <w:szCs w:val="19"/>
                <w:lang w:val="lv-LV"/>
              </w:rPr>
              <w:t>reģ</w:t>
            </w:r>
            <w:proofErr w:type="spellEnd"/>
            <w:r w:rsidR="00C30D6D">
              <w:rPr>
                <w:rFonts w:cstheme="minorHAnsi"/>
                <w:sz w:val="19"/>
                <w:szCs w:val="19"/>
                <w:lang w:val="lv-LV"/>
              </w:rPr>
              <w:t xml:space="preserve">. nr. </w:t>
            </w:r>
            <w:r w:rsidR="00C30D6D" w:rsidRPr="00DA5636">
              <w:rPr>
                <w:rFonts w:cstheme="minorHAnsi"/>
                <w:sz w:val="19"/>
                <w:szCs w:val="19"/>
                <w:lang w:val="lv-LV"/>
              </w:rPr>
              <w:t>40103264228</w:t>
            </w:r>
          </w:p>
        </w:tc>
      </w:tr>
    </w:tbl>
    <w:p w14:paraId="58326EC8" w14:textId="77777777" w:rsidR="00EE7DB4" w:rsidRPr="00844110" w:rsidRDefault="00EE7DB4" w:rsidP="00EE7DB4">
      <w:pPr>
        <w:rPr>
          <w:rFonts w:cstheme="minorHAnsi"/>
          <w:sz w:val="20"/>
          <w:szCs w:val="20"/>
          <w:lang w:val="lv-LV"/>
        </w:rPr>
      </w:pPr>
    </w:p>
    <w:sectPr w:rsidR="00EE7DB4" w:rsidRPr="008441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377C5" w14:textId="77777777" w:rsidR="00B7263C" w:rsidRDefault="00B7263C" w:rsidP="00802AE1">
      <w:pPr>
        <w:spacing w:after="0" w:line="240" w:lineRule="auto"/>
      </w:pPr>
      <w:r>
        <w:separator/>
      </w:r>
    </w:p>
  </w:endnote>
  <w:endnote w:type="continuationSeparator" w:id="0">
    <w:p w14:paraId="28F57360" w14:textId="77777777" w:rsidR="00B7263C" w:rsidRDefault="00B7263C" w:rsidP="0080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6A72" w14:textId="77777777" w:rsidR="00B7263C" w:rsidRDefault="00B7263C" w:rsidP="00802AE1">
      <w:pPr>
        <w:spacing w:after="0" w:line="240" w:lineRule="auto"/>
      </w:pPr>
      <w:r>
        <w:separator/>
      </w:r>
    </w:p>
  </w:footnote>
  <w:footnote w:type="continuationSeparator" w:id="0">
    <w:p w14:paraId="03C7C18A" w14:textId="77777777" w:rsidR="00B7263C" w:rsidRDefault="00B7263C" w:rsidP="00802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010"/>
    <w:multiLevelType w:val="multilevel"/>
    <w:tmpl w:val="E8441D0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11A1FA7"/>
    <w:multiLevelType w:val="multilevel"/>
    <w:tmpl w:val="E8A6B920"/>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B746BA"/>
    <w:multiLevelType w:val="hybridMultilevel"/>
    <w:tmpl w:val="D362E6C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1108E5"/>
    <w:multiLevelType w:val="hybridMultilevel"/>
    <w:tmpl w:val="0809000F"/>
    <w:lvl w:ilvl="0" w:tplc="FFFFFFFF">
      <w:start w:val="1"/>
      <w:numFmt w:val="decimal"/>
      <w:lvlText w:val="%1."/>
      <w:lvlJc w:val="left"/>
      <w:pPr>
        <w:ind w:left="360" w:hanging="360"/>
      </w:pPr>
      <w:rPr>
        <w:rFonts w:hint="default"/>
        <w:sz w:val="20"/>
      </w:rPr>
    </w:lvl>
    <w:lvl w:ilvl="1" w:tplc="FFFFFFFF">
      <w:start w:val="1"/>
      <w:numFmt w:val="lowerLetter"/>
      <w:lvlText w:val="%2."/>
      <w:lvlJc w:val="left"/>
      <w:pPr>
        <w:ind w:left="1080" w:hanging="360"/>
      </w:pPr>
      <w:rPr>
        <w:rFonts w:hint="default"/>
        <w:sz w:val="20"/>
      </w:rPr>
    </w:lvl>
    <w:lvl w:ilvl="2" w:tplc="FFFFFFFF" w:tentative="1">
      <w:start w:val="1"/>
      <w:numFmt w:val="lowerRoman"/>
      <w:lvlText w:val="%3."/>
      <w:lvlJc w:val="right"/>
      <w:pPr>
        <w:ind w:left="1800" w:hanging="180"/>
      </w:pPr>
      <w:rPr>
        <w:rFonts w:hint="default"/>
        <w:sz w:val="20"/>
      </w:rPr>
    </w:lvl>
    <w:lvl w:ilvl="3" w:tplc="FFFFFFFF" w:tentative="1">
      <w:start w:val="1"/>
      <w:numFmt w:val="decimal"/>
      <w:lvlText w:val="%4."/>
      <w:lvlJc w:val="left"/>
      <w:pPr>
        <w:ind w:left="2520" w:hanging="360"/>
      </w:pPr>
      <w:rPr>
        <w:rFonts w:hint="default"/>
        <w:sz w:val="20"/>
      </w:rPr>
    </w:lvl>
    <w:lvl w:ilvl="4" w:tplc="FFFFFFFF" w:tentative="1">
      <w:start w:val="1"/>
      <w:numFmt w:val="lowerLetter"/>
      <w:lvlText w:val="%5."/>
      <w:lvlJc w:val="left"/>
      <w:pPr>
        <w:ind w:left="3240" w:hanging="360"/>
      </w:pPr>
      <w:rPr>
        <w:rFonts w:hint="default"/>
        <w:sz w:val="20"/>
      </w:rPr>
    </w:lvl>
    <w:lvl w:ilvl="5" w:tplc="FFFFFFFF" w:tentative="1">
      <w:start w:val="1"/>
      <w:numFmt w:val="lowerRoman"/>
      <w:lvlText w:val="%6."/>
      <w:lvlJc w:val="right"/>
      <w:pPr>
        <w:ind w:left="3960" w:hanging="180"/>
      </w:pPr>
      <w:rPr>
        <w:rFonts w:hint="default"/>
        <w:sz w:val="20"/>
      </w:rPr>
    </w:lvl>
    <w:lvl w:ilvl="6" w:tplc="FFFFFFFF" w:tentative="1">
      <w:start w:val="1"/>
      <w:numFmt w:val="decimal"/>
      <w:lvlText w:val="%7."/>
      <w:lvlJc w:val="left"/>
      <w:pPr>
        <w:ind w:left="4680" w:hanging="360"/>
      </w:pPr>
      <w:rPr>
        <w:rFonts w:hint="default"/>
        <w:sz w:val="20"/>
      </w:rPr>
    </w:lvl>
    <w:lvl w:ilvl="7" w:tplc="FFFFFFFF" w:tentative="1">
      <w:start w:val="1"/>
      <w:numFmt w:val="lowerLetter"/>
      <w:lvlText w:val="%8."/>
      <w:lvlJc w:val="left"/>
      <w:pPr>
        <w:ind w:left="5400" w:hanging="360"/>
      </w:pPr>
      <w:rPr>
        <w:rFonts w:hint="default"/>
        <w:sz w:val="20"/>
      </w:rPr>
    </w:lvl>
    <w:lvl w:ilvl="8" w:tplc="FFFFFFFF" w:tentative="1">
      <w:start w:val="1"/>
      <w:numFmt w:val="lowerRoman"/>
      <w:lvlText w:val="%9."/>
      <w:lvlJc w:val="right"/>
      <w:pPr>
        <w:ind w:left="6120" w:hanging="180"/>
      </w:pPr>
      <w:rPr>
        <w:rFonts w:hint="default"/>
        <w:sz w:val="20"/>
      </w:rPr>
    </w:lvl>
  </w:abstractNum>
  <w:abstractNum w:abstractNumId="4" w15:restartNumberingAfterBreak="0">
    <w:nsid w:val="50756793"/>
    <w:multiLevelType w:val="hybridMultilevel"/>
    <w:tmpl w:val="6F3271AC"/>
    <w:lvl w:ilvl="0" w:tplc="EE1C49F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561EB5"/>
    <w:multiLevelType w:val="hybridMultilevel"/>
    <w:tmpl w:val="D88062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163D67"/>
    <w:multiLevelType w:val="hybridMultilevel"/>
    <w:tmpl w:val="2212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077848"/>
    <w:multiLevelType w:val="multilevel"/>
    <w:tmpl w:val="E8441D0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48720907">
    <w:abstractNumId w:val="5"/>
  </w:num>
  <w:num w:numId="2" w16cid:durableId="2070880394">
    <w:abstractNumId w:val="6"/>
  </w:num>
  <w:num w:numId="3" w16cid:durableId="2027756329">
    <w:abstractNumId w:val="2"/>
  </w:num>
  <w:num w:numId="4" w16cid:durableId="1157266415">
    <w:abstractNumId w:val="4"/>
  </w:num>
  <w:num w:numId="5" w16cid:durableId="1566379471">
    <w:abstractNumId w:val="1"/>
  </w:num>
  <w:num w:numId="6" w16cid:durableId="800878535">
    <w:abstractNumId w:val="3"/>
  </w:num>
  <w:num w:numId="7" w16cid:durableId="163281941">
    <w:abstractNumId w:val="7"/>
  </w:num>
  <w:num w:numId="8" w16cid:durableId="162326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42"/>
    <w:rsid w:val="00035E60"/>
    <w:rsid w:val="00064121"/>
    <w:rsid w:val="00064CCA"/>
    <w:rsid w:val="00082549"/>
    <w:rsid w:val="000D09B7"/>
    <w:rsid w:val="000D445C"/>
    <w:rsid w:val="000F37EC"/>
    <w:rsid w:val="001176D4"/>
    <w:rsid w:val="00154CD6"/>
    <w:rsid w:val="001C5CF9"/>
    <w:rsid w:val="001C71A6"/>
    <w:rsid w:val="001D6F68"/>
    <w:rsid w:val="001E0899"/>
    <w:rsid w:val="002169CC"/>
    <w:rsid w:val="00224421"/>
    <w:rsid w:val="00292C51"/>
    <w:rsid w:val="002C0EB9"/>
    <w:rsid w:val="002C6849"/>
    <w:rsid w:val="002E0122"/>
    <w:rsid w:val="002E2012"/>
    <w:rsid w:val="00332275"/>
    <w:rsid w:val="00332369"/>
    <w:rsid w:val="00337E86"/>
    <w:rsid w:val="00375472"/>
    <w:rsid w:val="00381E97"/>
    <w:rsid w:val="00394A7C"/>
    <w:rsid w:val="0039745E"/>
    <w:rsid w:val="003A61CB"/>
    <w:rsid w:val="003D1E1B"/>
    <w:rsid w:val="003E3CED"/>
    <w:rsid w:val="00425276"/>
    <w:rsid w:val="00472897"/>
    <w:rsid w:val="00483CA2"/>
    <w:rsid w:val="004A2015"/>
    <w:rsid w:val="004C27D6"/>
    <w:rsid w:val="004F6E30"/>
    <w:rsid w:val="005060F6"/>
    <w:rsid w:val="00511C4B"/>
    <w:rsid w:val="00533AE3"/>
    <w:rsid w:val="005517EE"/>
    <w:rsid w:val="00552D5F"/>
    <w:rsid w:val="005579E7"/>
    <w:rsid w:val="00560BD9"/>
    <w:rsid w:val="005706CC"/>
    <w:rsid w:val="005E14AF"/>
    <w:rsid w:val="00632FEC"/>
    <w:rsid w:val="0063515D"/>
    <w:rsid w:val="0064188C"/>
    <w:rsid w:val="00683594"/>
    <w:rsid w:val="006D72B3"/>
    <w:rsid w:val="00702E5B"/>
    <w:rsid w:val="0070378B"/>
    <w:rsid w:val="00747EBB"/>
    <w:rsid w:val="007633F5"/>
    <w:rsid w:val="00791DD4"/>
    <w:rsid w:val="00793C3A"/>
    <w:rsid w:val="00802AE1"/>
    <w:rsid w:val="00823561"/>
    <w:rsid w:val="00844110"/>
    <w:rsid w:val="00886D40"/>
    <w:rsid w:val="008A3E82"/>
    <w:rsid w:val="008E769C"/>
    <w:rsid w:val="00925504"/>
    <w:rsid w:val="00955221"/>
    <w:rsid w:val="00955EFF"/>
    <w:rsid w:val="009C6958"/>
    <w:rsid w:val="00A1484D"/>
    <w:rsid w:val="00A656FF"/>
    <w:rsid w:val="00A73B49"/>
    <w:rsid w:val="00A86B9E"/>
    <w:rsid w:val="00A945F6"/>
    <w:rsid w:val="00B37E42"/>
    <w:rsid w:val="00B62F4C"/>
    <w:rsid w:val="00B7263C"/>
    <w:rsid w:val="00BA496E"/>
    <w:rsid w:val="00BA4BBB"/>
    <w:rsid w:val="00BB05C1"/>
    <w:rsid w:val="00BC1893"/>
    <w:rsid w:val="00BC46EB"/>
    <w:rsid w:val="00BE210A"/>
    <w:rsid w:val="00BE79D6"/>
    <w:rsid w:val="00C06552"/>
    <w:rsid w:val="00C30D6D"/>
    <w:rsid w:val="00C60AEC"/>
    <w:rsid w:val="00CE7675"/>
    <w:rsid w:val="00D35978"/>
    <w:rsid w:val="00DA5636"/>
    <w:rsid w:val="00DA707A"/>
    <w:rsid w:val="00DB2634"/>
    <w:rsid w:val="00DC033A"/>
    <w:rsid w:val="00DC7F73"/>
    <w:rsid w:val="00DD648F"/>
    <w:rsid w:val="00DE433D"/>
    <w:rsid w:val="00E33F39"/>
    <w:rsid w:val="00E4314D"/>
    <w:rsid w:val="00E571C2"/>
    <w:rsid w:val="00E7562E"/>
    <w:rsid w:val="00E80754"/>
    <w:rsid w:val="00E81BA6"/>
    <w:rsid w:val="00E87FA9"/>
    <w:rsid w:val="00EA30A9"/>
    <w:rsid w:val="00EE7DB4"/>
    <w:rsid w:val="00F36780"/>
    <w:rsid w:val="00F377AF"/>
    <w:rsid w:val="00F6690E"/>
    <w:rsid w:val="00F716A5"/>
    <w:rsid w:val="00F94B1C"/>
    <w:rsid w:val="00FB5FBC"/>
    <w:rsid w:val="00FD3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8F9F5"/>
  <w15:chartTrackingRefBased/>
  <w15:docId w15:val="{FB865537-F58F-4B4C-97FA-22F7FBD5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B37E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7E42"/>
    <w:rPr>
      <w:color w:val="0000FF"/>
      <w:u w:val="single"/>
    </w:rPr>
  </w:style>
  <w:style w:type="paragraph" w:styleId="ListParagraph">
    <w:name w:val="List Paragraph"/>
    <w:basedOn w:val="Normal"/>
    <w:uiPriority w:val="34"/>
    <w:qFormat/>
    <w:rsid w:val="00CE7675"/>
    <w:pPr>
      <w:ind w:left="720"/>
      <w:contextualSpacing/>
    </w:pPr>
  </w:style>
  <w:style w:type="character" w:styleId="CommentReference">
    <w:name w:val="annotation reference"/>
    <w:basedOn w:val="DefaultParagraphFont"/>
    <w:uiPriority w:val="99"/>
    <w:semiHidden/>
    <w:unhideWhenUsed/>
    <w:rsid w:val="00802AE1"/>
    <w:rPr>
      <w:sz w:val="16"/>
      <w:szCs w:val="16"/>
    </w:rPr>
  </w:style>
  <w:style w:type="paragraph" w:styleId="CommentText">
    <w:name w:val="annotation text"/>
    <w:basedOn w:val="Normal"/>
    <w:link w:val="CommentTextChar"/>
    <w:uiPriority w:val="99"/>
    <w:unhideWhenUsed/>
    <w:rsid w:val="00802AE1"/>
    <w:pPr>
      <w:spacing w:after="0" w:line="240" w:lineRule="auto"/>
      <w:ind w:firstLine="720"/>
      <w:jc w:val="both"/>
    </w:pPr>
    <w:rPr>
      <w:sz w:val="20"/>
      <w:szCs w:val="20"/>
      <w:lang w:val="lv-LV"/>
    </w:rPr>
  </w:style>
  <w:style w:type="character" w:customStyle="1" w:styleId="CommentTextChar">
    <w:name w:val="Comment Text Char"/>
    <w:basedOn w:val="DefaultParagraphFont"/>
    <w:link w:val="CommentText"/>
    <w:uiPriority w:val="99"/>
    <w:rsid w:val="00802AE1"/>
    <w:rPr>
      <w:sz w:val="20"/>
      <w:szCs w:val="20"/>
      <w:lang w:val="lv-LV"/>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802AE1"/>
    <w:rPr>
      <w:vertAlign w:val="superscript"/>
    </w:rPr>
  </w:style>
  <w:style w:type="paragraph" w:styleId="Header">
    <w:name w:val="header"/>
    <w:basedOn w:val="Normal"/>
    <w:link w:val="HeaderChar"/>
    <w:uiPriority w:val="99"/>
    <w:unhideWhenUsed/>
    <w:rsid w:val="001E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899"/>
  </w:style>
  <w:style w:type="paragraph" w:styleId="Footer">
    <w:name w:val="footer"/>
    <w:basedOn w:val="Normal"/>
    <w:link w:val="FooterChar"/>
    <w:uiPriority w:val="99"/>
    <w:unhideWhenUsed/>
    <w:rsid w:val="001E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899"/>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unhideWhenUsed/>
    <w:qFormat/>
    <w:rsid w:val="00082549"/>
    <w:pPr>
      <w:spacing w:after="0" w:line="240" w:lineRule="auto"/>
    </w:pPr>
    <w:rPr>
      <w:sz w:val="20"/>
      <w:szCs w:val="20"/>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082549"/>
    <w:rPr>
      <w:sz w:val="20"/>
      <w:szCs w:val="20"/>
    </w:rPr>
  </w:style>
  <w:style w:type="paragraph" w:customStyle="1" w:styleId="CharCharCharChar">
    <w:name w:val="Char Char Char Char"/>
    <w:aliases w:val="Char2"/>
    <w:basedOn w:val="Normal"/>
    <w:next w:val="Normal"/>
    <w:link w:val="FootnoteReference"/>
    <w:uiPriority w:val="99"/>
    <w:rsid w:val="00082549"/>
    <w:pPr>
      <w:keepNext/>
      <w:keepLines/>
      <w:spacing w:before="120" w:line="240" w:lineRule="exact"/>
      <w:jc w:val="both"/>
      <w:outlineLvl w:val="0"/>
    </w:pPr>
    <w:rPr>
      <w:vertAlign w:val="superscript"/>
    </w:rPr>
  </w:style>
  <w:style w:type="character" w:styleId="UnresolvedMention">
    <w:name w:val="Unresolved Mention"/>
    <w:basedOn w:val="DefaultParagraphFont"/>
    <w:uiPriority w:val="99"/>
    <w:semiHidden/>
    <w:unhideWhenUsed/>
    <w:rsid w:val="00C30D6D"/>
    <w:rPr>
      <w:color w:val="605E5C"/>
      <w:shd w:val="clear" w:color="auto" w:fill="E1DFDD"/>
    </w:rPr>
  </w:style>
  <w:style w:type="paragraph" w:styleId="NormalWeb">
    <w:name w:val="Normal (Web)"/>
    <w:basedOn w:val="Normal"/>
    <w:uiPriority w:val="99"/>
    <w:semiHidden/>
    <w:unhideWhenUsed/>
    <w:rsid w:val="006418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73223">
      <w:bodyDiv w:val="1"/>
      <w:marLeft w:val="0"/>
      <w:marRight w:val="0"/>
      <w:marTop w:val="0"/>
      <w:marBottom w:val="0"/>
      <w:divBdr>
        <w:top w:val="none" w:sz="0" w:space="0" w:color="auto"/>
        <w:left w:val="none" w:sz="0" w:space="0" w:color="auto"/>
        <w:bottom w:val="none" w:sz="0" w:space="0" w:color="auto"/>
        <w:right w:val="none" w:sz="0" w:space="0" w:color="auto"/>
      </w:divBdr>
    </w:div>
    <w:div w:id="371422564">
      <w:bodyDiv w:val="1"/>
      <w:marLeft w:val="0"/>
      <w:marRight w:val="0"/>
      <w:marTop w:val="0"/>
      <w:marBottom w:val="0"/>
      <w:divBdr>
        <w:top w:val="none" w:sz="0" w:space="0" w:color="auto"/>
        <w:left w:val="none" w:sz="0" w:space="0" w:color="auto"/>
        <w:bottom w:val="none" w:sz="0" w:space="0" w:color="auto"/>
        <w:right w:val="none" w:sz="0" w:space="0" w:color="auto"/>
      </w:divBdr>
    </w:div>
    <w:div w:id="531115591">
      <w:bodyDiv w:val="1"/>
      <w:marLeft w:val="0"/>
      <w:marRight w:val="0"/>
      <w:marTop w:val="0"/>
      <w:marBottom w:val="0"/>
      <w:divBdr>
        <w:top w:val="none" w:sz="0" w:space="0" w:color="auto"/>
        <w:left w:val="none" w:sz="0" w:space="0" w:color="auto"/>
        <w:bottom w:val="none" w:sz="0" w:space="0" w:color="auto"/>
        <w:right w:val="none" w:sz="0" w:space="0" w:color="auto"/>
      </w:divBdr>
    </w:div>
    <w:div w:id="1249734026">
      <w:bodyDiv w:val="1"/>
      <w:marLeft w:val="0"/>
      <w:marRight w:val="0"/>
      <w:marTop w:val="0"/>
      <w:marBottom w:val="0"/>
      <w:divBdr>
        <w:top w:val="none" w:sz="0" w:space="0" w:color="auto"/>
        <w:left w:val="none" w:sz="0" w:space="0" w:color="auto"/>
        <w:bottom w:val="none" w:sz="0" w:space="0" w:color="auto"/>
        <w:right w:val="none" w:sz="0" w:space="0" w:color="auto"/>
      </w:divBdr>
    </w:div>
    <w:div w:id="1322854081">
      <w:bodyDiv w:val="1"/>
      <w:marLeft w:val="0"/>
      <w:marRight w:val="0"/>
      <w:marTop w:val="0"/>
      <w:marBottom w:val="0"/>
      <w:divBdr>
        <w:top w:val="none" w:sz="0" w:space="0" w:color="auto"/>
        <w:left w:val="none" w:sz="0" w:space="0" w:color="auto"/>
        <w:bottom w:val="none" w:sz="0" w:space="0" w:color="auto"/>
        <w:right w:val="none" w:sz="0" w:space="0" w:color="auto"/>
      </w:divBdr>
    </w:div>
    <w:div w:id="1383559492">
      <w:bodyDiv w:val="1"/>
      <w:marLeft w:val="0"/>
      <w:marRight w:val="0"/>
      <w:marTop w:val="0"/>
      <w:marBottom w:val="0"/>
      <w:divBdr>
        <w:top w:val="none" w:sz="0" w:space="0" w:color="auto"/>
        <w:left w:val="none" w:sz="0" w:space="0" w:color="auto"/>
        <w:bottom w:val="none" w:sz="0" w:space="0" w:color="auto"/>
        <w:right w:val="none" w:sz="0" w:space="0" w:color="auto"/>
      </w:divBdr>
      <w:divsChild>
        <w:div w:id="445587447">
          <w:marLeft w:val="0"/>
          <w:marRight w:val="0"/>
          <w:marTop w:val="0"/>
          <w:marBottom w:val="0"/>
          <w:divBdr>
            <w:top w:val="none" w:sz="0" w:space="0" w:color="414142"/>
            <w:left w:val="none" w:sz="0" w:space="8" w:color="414142"/>
            <w:bottom w:val="none" w:sz="0" w:space="0" w:color="414142"/>
            <w:right w:val="none" w:sz="0" w:space="8" w:color="414142"/>
          </w:divBdr>
        </w:div>
      </w:divsChild>
    </w:div>
    <w:div w:id="1875539376">
      <w:bodyDiv w:val="1"/>
      <w:marLeft w:val="0"/>
      <w:marRight w:val="0"/>
      <w:marTop w:val="0"/>
      <w:marBottom w:val="0"/>
      <w:divBdr>
        <w:top w:val="none" w:sz="0" w:space="0" w:color="auto"/>
        <w:left w:val="none" w:sz="0" w:space="0" w:color="auto"/>
        <w:bottom w:val="none" w:sz="0" w:space="0" w:color="auto"/>
        <w:right w:val="none" w:sz="0" w:space="0" w:color="auto"/>
      </w:divBdr>
    </w:div>
    <w:div w:id="2064451128">
      <w:bodyDiv w:val="1"/>
      <w:marLeft w:val="0"/>
      <w:marRight w:val="0"/>
      <w:marTop w:val="0"/>
      <w:marBottom w:val="0"/>
      <w:divBdr>
        <w:top w:val="none" w:sz="0" w:space="0" w:color="auto"/>
        <w:left w:val="none" w:sz="0" w:space="0" w:color="auto"/>
        <w:bottom w:val="none" w:sz="0" w:space="0" w:color="auto"/>
        <w:right w:val="none" w:sz="0" w:space="0" w:color="auto"/>
      </w:divBdr>
    </w:div>
    <w:div w:id="2080249458">
      <w:bodyDiv w:val="1"/>
      <w:marLeft w:val="0"/>
      <w:marRight w:val="0"/>
      <w:marTop w:val="0"/>
      <w:marBottom w:val="0"/>
      <w:divBdr>
        <w:top w:val="none" w:sz="0" w:space="0" w:color="auto"/>
        <w:left w:val="none" w:sz="0" w:space="0" w:color="auto"/>
        <w:bottom w:val="none" w:sz="0" w:space="0" w:color="auto"/>
        <w:right w:val="none" w:sz="0" w:space="0" w:color="auto"/>
      </w:divBdr>
    </w:div>
    <w:div w:id="213578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650C-AF8E-4044-AFE2-1C842B8F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5614</Words>
  <Characters>3200</Characters>
  <Application>Microsoft Office Word</Application>
  <DocSecurity>4</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Tracuma</dc:creator>
  <cp:keywords/>
  <dc:description/>
  <cp:lastModifiedBy>Ina Voliņeca</cp:lastModifiedBy>
  <cp:revision>2</cp:revision>
  <dcterms:created xsi:type="dcterms:W3CDTF">2025-10-31T07:48:00Z</dcterms:created>
  <dcterms:modified xsi:type="dcterms:W3CDTF">2025-10-31T07:48:00Z</dcterms:modified>
</cp:coreProperties>
</file>