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0" w:type="dxa"/>
        <w:jc w:val="center"/>
        <w:tblCellMar>
          <w:top w:w="24" w:type="dxa"/>
          <w:left w:w="24" w:type="dxa"/>
          <w:bottom w:w="24" w:type="dxa"/>
          <w:right w:w="24" w:type="dxa"/>
        </w:tblCellMar>
        <w:tblLook w:val="04A0" w:firstRow="1" w:lastRow="0" w:firstColumn="1" w:lastColumn="0" w:noHBand="0" w:noVBand="1"/>
      </w:tblPr>
      <w:tblGrid>
        <w:gridCol w:w="2610"/>
        <w:gridCol w:w="2610"/>
      </w:tblGrid>
      <w:tr w:rsidR="009626AC" w:rsidRPr="009626AC" w14:paraId="227BE777" w14:textId="77777777" w:rsidTr="00FB60BB">
        <w:trPr>
          <w:jc w:val="center"/>
        </w:trPr>
        <w:tc>
          <w:tcPr>
            <w:tcW w:w="2500" w:type="pct"/>
            <w:tcBorders>
              <w:top w:val="nil"/>
              <w:left w:val="nil"/>
              <w:bottom w:val="nil"/>
              <w:right w:val="nil"/>
            </w:tcBorders>
            <w:hideMark/>
          </w:tcPr>
          <w:p w14:paraId="1772D578" w14:textId="77777777" w:rsidR="009626AC" w:rsidRPr="00FB60BB" w:rsidRDefault="009626AC" w:rsidP="009626AC">
            <w:pPr>
              <w:widowControl/>
              <w:spacing w:before="100" w:beforeAutospacing="1" w:line="293" w:lineRule="atLeast"/>
              <w:jc w:val="right"/>
              <w:rPr>
                <w:rFonts w:eastAsia="Times New Roman"/>
                <w:color w:val="414142"/>
                <w:sz w:val="20"/>
                <w:szCs w:val="20"/>
                <w:lang w:val="lv-LV" w:eastAsia="lv-LV"/>
              </w:rPr>
            </w:pPr>
            <w:r w:rsidRPr="00FB60BB">
              <w:rPr>
                <w:rFonts w:eastAsia="Times New Roman"/>
                <w:b/>
                <w:bCs/>
                <w:color w:val="414142"/>
                <w:sz w:val="20"/>
                <w:szCs w:val="20"/>
                <w:lang w:val="lv-LV" w:eastAsia="lv-LV"/>
              </w:rPr>
              <w:t>Anotācija pētījumam</w:t>
            </w:r>
          </w:p>
        </w:tc>
        <w:tc>
          <w:tcPr>
            <w:tcW w:w="2500" w:type="pct"/>
            <w:tcBorders>
              <w:top w:val="nil"/>
              <w:left w:val="nil"/>
              <w:bottom w:val="single" w:sz="6" w:space="0" w:color="414142"/>
              <w:right w:val="nil"/>
            </w:tcBorders>
            <w:hideMark/>
          </w:tcPr>
          <w:p w14:paraId="2B7429FF" w14:textId="77777777" w:rsidR="009626AC" w:rsidRPr="00FB60BB" w:rsidRDefault="009626AC" w:rsidP="009626AC">
            <w:pPr>
              <w:widowControl/>
              <w:spacing w:before="195"/>
              <w:jc w:val="left"/>
              <w:rPr>
                <w:rFonts w:eastAsia="Times New Roman"/>
                <w:color w:val="414142"/>
                <w:sz w:val="20"/>
                <w:szCs w:val="20"/>
                <w:lang w:val="lv-LV" w:eastAsia="lv-LV"/>
              </w:rPr>
            </w:pPr>
            <w:r w:rsidRPr="009626AC">
              <w:rPr>
                <w:rFonts w:asciiTheme="majorBidi" w:hAnsiTheme="majorBidi" w:cstheme="majorBidi"/>
                <w:b/>
                <w:bCs/>
                <w:szCs w:val="24"/>
                <w:lang w:val="lv-LV"/>
              </w:rPr>
              <w:t>“Pētījuma veikšana par narkotiku lietošanas profilaksi Latvijā”</w:t>
            </w:r>
          </w:p>
        </w:tc>
      </w:tr>
      <w:tr w:rsidR="009626AC" w:rsidRPr="009626AC" w14:paraId="7D2FC110" w14:textId="77777777" w:rsidTr="00FB60BB">
        <w:trPr>
          <w:jc w:val="center"/>
        </w:trPr>
        <w:tc>
          <w:tcPr>
            <w:tcW w:w="2500" w:type="pct"/>
            <w:tcBorders>
              <w:top w:val="nil"/>
              <w:left w:val="nil"/>
              <w:bottom w:val="nil"/>
              <w:right w:val="nil"/>
            </w:tcBorders>
            <w:hideMark/>
          </w:tcPr>
          <w:p w14:paraId="066B932E" w14:textId="77777777" w:rsidR="009626AC" w:rsidRPr="00FB60BB" w:rsidRDefault="009626AC" w:rsidP="009626AC">
            <w:pPr>
              <w:widowControl/>
              <w:spacing w:before="195"/>
              <w:jc w:val="left"/>
              <w:rPr>
                <w:rFonts w:eastAsia="Times New Roman"/>
                <w:color w:val="414142"/>
                <w:sz w:val="20"/>
                <w:szCs w:val="20"/>
                <w:lang w:val="lv-LV" w:eastAsia="lv-LV"/>
              </w:rPr>
            </w:pPr>
            <w:r w:rsidRPr="00FB60BB">
              <w:rPr>
                <w:rFonts w:eastAsia="Times New Roman"/>
                <w:color w:val="414142"/>
                <w:sz w:val="20"/>
                <w:szCs w:val="20"/>
                <w:lang w:val="lv-LV" w:eastAsia="lv-LV"/>
              </w:rPr>
              <w:t> </w:t>
            </w:r>
          </w:p>
        </w:tc>
        <w:tc>
          <w:tcPr>
            <w:tcW w:w="2500" w:type="pct"/>
            <w:tcBorders>
              <w:top w:val="single" w:sz="6" w:space="0" w:color="414142"/>
              <w:left w:val="nil"/>
              <w:bottom w:val="nil"/>
              <w:right w:val="nil"/>
            </w:tcBorders>
            <w:hideMark/>
          </w:tcPr>
          <w:p w14:paraId="67FA021B" w14:textId="77777777" w:rsidR="009626AC" w:rsidRPr="00FB60BB" w:rsidRDefault="009626AC" w:rsidP="009626AC">
            <w:pPr>
              <w:widowControl/>
              <w:spacing w:before="100" w:beforeAutospacing="1" w:line="293" w:lineRule="atLeast"/>
              <w:rPr>
                <w:rFonts w:eastAsia="Times New Roman"/>
                <w:color w:val="414142"/>
                <w:sz w:val="20"/>
                <w:szCs w:val="20"/>
                <w:lang w:val="lv-LV" w:eastAsia="lv-LV"/>
              </w:rPr>
            </w:pPr>
          </w:p>
        </w:tc>
      </w:tr>
    </w:tbl>
    <w:p w14:paraId="2C0E7B4C" w14:textId="77777777" w:rsidR="00FB60BB" w:rsidRPr="00FB60BB" w:rsidRDefault="00FB60BB" w:rsidP="007F2129">
      <w:pPr>
        <w:widowControl/>
        <w:shd w:val="clear" w:color="auto" w:fill="FFFFFF"/>
        <w:spacing w:before="100" w:beforeAutospacing="1" w:after="100" w:afterAutospacing="1" w:line="293" w:lineRule="atLeast"/>
        <w:jc w:val="left"/>
        <w:rPr>
          <w:rFonts w:ascii="Arial" w:eastAsia="Times New Roman" w:hAnsi="Arial" w:cs="Arial"/>
          <w:color w:val="414142"/>
          <w:sz w:val="20"/>
          <w:szCs w:val="20"/>
          <w:lang w:val="lv-LV" w:eastAsia="lv-LV"/>
        </w:rPr>
      </w:pPr>
    </w:p>
    <w:tbl>
      <w:tblPr>
        <w:tblW w:w="9000" w:type="dxa"/>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66"/>
        <w:gridCol w:w="2008"/>
        <w:gridCol w:w="6526"/>
      </w:tblGrid>
      <w:tr w:rsidR="00FB60BB" w:rsidRPr="00EF5DBE" w14:paraId="1CBA14D7"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29CEF72" w14:textId="77777777" w:rsidR="00FB60BB" w:rsidRPr="00EF5DBE" w:rsidRDefault="00FB60BB" w:rsidP="004A00A6">
            <w:pPr>
              <w:widowControl/>
              <w:spacing w:before="100" w:beforeAutospacing="1" w:line="293" w:lineRule="atLeast"/>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Pētījuma mērķis, uzdevumi un galvenie rezultāti latviešu valodā (brīvā tekstā, aptuveni 150 vārdu)</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199AC447" w14:textId="77777777" w:rsidR="00EF5DBE" w:rsidRPr="00EF5DBE" w:rsidRDefault="00EF5DBE" w:rsidP="00EF5DBE">
            <w:pPr>
              <w:widowControl/>
              <w:spacing w:before="195"/>
              <w:jc w:val="left"/>
              <w:rPr>
                <w:rFonts w:asciiTheme="majorBidi" w:hAnsiTheme="majorBidi" w:cstheme="majorBidi"/>
                <w:color w:val="000000" w:themeColor="text1"/>
                <w:szCs w:val="24"/>
                <w:lang w:val="lv-LV"/>
              </w:rPr>
            </w:pPr>
            <w:r w:rsidRPr="00EF5DBE">
              <w:rPr>
                <w:rFonts w:asciiTheme="majorBidi" w:hAnsiTheme="majorBidi" w:cstheme="majorBidi"/>
                <w:color w:val="000000" w:themeColor="text1"/>
                <w:szCs w:val="24"/>
                <w:u w:val="single"/>
                <w:lang w:val="lv-LV"/>
              </w:rPr>
              <w:t>Mērķis</w:t>
            </w:r>
            <w:r w:rsidRPr="00EF5DBE">
              <w:rPr>
                <w:rFonts w:asciiTheme="majorBidi" w:hAnsiTheme="majorBidi" w:cstheme="majorBidi"/>
                <w:color w:val="000000" w:themeColor="text1"/>
                <w:szCs w:val="24"/>
                <w:lang w:val="lv-LV"/>
              </w:rPr>
              <w:t>: Apzināt (</w:t>
            </w:r>
            <w:proofErr w:type="spellStart"/>
            <w:r w:rsidRPr="00EF5DBE">
              <w:rPr>
                <w:rFonts w:asciiTheme="majorBidi" w:hAnsiTheme="majorBidi" w:cstheme="majorBidi"/>
                <w:color w:val="000000" w:themeColor="text1"/>
                <w:szCs w:val="24"/>
                <w:lang w:val="lv-LV"/>
              </w:rPr>
              <w:t>mapping</w:t>
            </w:r>
            <w:proofErr w:type="spellEnd"/>
            <w:r w:rsidRPr="00EF5DBE">
              <w:rPr>
                <w:rFonts w:asciiTheme="majorBidi" w:hAnsiTheme="majorBidi" w:cstheme="majorBidi"/>
                <w:color w:val="000000" w:themeColor="text1"/>
                <w:szCs w:val="24"/>
                <w:lang w:val="lv-LV"/>
              </w:rPr>
              <w:t>) narkotiku lietošanas universālās, selektīvās un indicētās profilakses intervences Latvijā pēdējo trīs gadu laikā (2023., 2024., 2025. gadā) un vērtēt universālo un selektīvo profilakses pasākumu atbilstību Eiropas profilakses kvalitātes standartiem (EDPQS).</w:t>
            </w:r>
          </w:p>
          <w:p w14:paraId="6168A5CB" w14:textId="77777777" w:rsidR="00EF5DBE" w:rsidRPr="00EF5DBE" w:rsidRDefault="00EF5DBE" w:rsidP="00EF5DBE">
            <w:pPr>
              <w:widowControl/>
              <w:spacing w:before="195"/>
              <w:jc w:val="left"/>
              <w:rPr>
                <w:rFonts w:asciiTheme="majorBidi" w:hAnsiTheme="majorBidi" w:cstheme="majorBidi"/>
                <w:color w:val="000000" w:themeColor="text1"/>
                <w:szCs w:val="24"/>
                <w:u w:val="single"/>
                <w:lang w:val="lv-LV"/>
              </w:rPr>
            </w:pPr>
            <w:r w:rsidRPr="00EF5DBE">
              <w:rPr>
                <w:rFonts w:asciiTheme="majorBidi" w:hAnsiTheme="majorBidi" w:cstheme="majorBidi"/>
                <w:color w:val="000000" w:themeColor="text1"/>
                <w:szCs w:val="24"/>
                <w:u w:val="single"/>
                <w:lang w:val="lv-LV"/>
              </w:rPr>
              <w:t>Uzdevumi:</w:t>
            </w:r>
          </w:p>
          <w:p w14:paraId="06AD39F6" w14:textId="77777777" w:rsidR="00EF5DBE" w:rsidRPr="00EF5DBE" w:rsidRDefault="00EF5DBE" w:rsidP="00EF5DBE">
            <w:pPr>
              <w:pStyle w:val="ListParagraph"/>
              <w:widowControl/>
              <w:numPr>
                <w:ilvl w:val="0"/>
                <w:numId w:val="5"/>
              </w:numPr>
              <w:spacing w:before="195"/>
              <w:jc w:val="left"/>
              <w:rPr>
                <w:rFonts w:asciiTheme="majorBidi" w:hAnsiTheme="majorBidi" w:cstheme="majorBidi"/>
                <w:color w:val="000000" w:themeColor="text1"/>
                <w:szCs w:val="24"/>
                <w:lang w:val="lv-LV"/>
              </w:rPr>
            </w:pPr>
            <w:r w:rsidRPr="00EF5DBE">
              <w:rPr>
                <w:rFonts w:asciiTheme="majorBidi" w:hAnsiTheme="majorBidi" w:cstheme="majorBidi"/>
                <w:color w:val="000000" w:themeColor="text1"/>
                <w:szCs w:val="24"/>
                <w:lang w:val="lv-LV"/>
              </w:rPr>
              <w:t>Īstenoto narkotiku lietošanas profilakses pasākumu kartēšana jeb apzināšana;</w:t>
            </w:r>
          </w:p>
          <w:p w14:paraId="3E954458" w14:textId="77777777" w:rsidR="00EF5DBE" w:rsidRPr="00EF5DBE" w:rsidRDefault="00EF5DBE" w:rsidP="00EF5DBE">
            <w:pPr>
              <w:pStyle w:val="ListParagraph"/>
              <w:widowControl/>
              <w:numPr>
                <w:ilvl w:val="0"/>
                <w:numId w:val="5"/>
              </w:numPr>
              <w:spacing w:before="195"/>
              <w:jc w:val="left"/>
              <w:rPr>
                <w:rFonts w:asciiTheme="majorBidi" w:hAnsiTheme="majorBidi" w:cstheme="majorBidi"/>
                <w:color w:val="000000" w:themeColor="text1"/>
                <w:szCs w:val="24"/>
                <w:lang w:val="lv-LV"/>
              </w:rPr>
            </w:pPr>
            <w:r w:rsidRPr="00EF5DBE">
              <w:rPr>
                <w:rFonts w:asciiTheme="majorBidi" w:hAnsiTheme="majorBidi" w:cstheme="majorBidi"/>
                <w:color w:val="000000" w:themeColor="text1"/>
                <w:szCs w:val="24"/>
                <w:lang w:val="lv-LV"/>
              </w:rPr>
              <w:t>Īstenoto pasākumu satura un organizācijas izpēte un aprakstu sagatavošana;</w:t>
            </w:r>
          </w:p>
          <w:p w14:paraId="7F6BC3B9" w14:textId="77777777" w:rsidR="00EF5DBE" w:rsidRPr="00EF5DBE" w:rsidRDefault="00EF5DBE" w:rsidP="00EF5DBE">
            <w:pPr>
              <w:pStyle w:val="ListParagraph"/>
              <w:widowControl/>
              <w:numPr>
                <w:ilvl w:val="0"/>
                <w:numId w:val="5"/>
              </w:numPr>
              <w:spacing w:before="195"/>
              <w:jc w:val="left"/>
              <w:rPr>
                <w:rFonts w:asciiTheme="majorBidi" w:hAnsiTheme="majorBidi" w:cstheme="majorBidi"/>
                <w:color w:val="000000" w:themeColor="text1"/>
                <w:szCs w:val="24"/>
                <w:lang w:val="lv-LV"/>
              </w:rPr>
            </w:pPr>
            <w:r w:rsidRPr="00EF5DBE">
              <w:rPr>
                <w:rFonts w:asciiTheme="majorBidi" w:hAnsiTheme="majorBidi" w:cstheme="majorBidi"/>
                <w:color w:val="000000" w:themeColor="text1"/>
                <w:szCs w:val="24"/>
                <w:lang w:val="lv-LV"/>
              </w:rPr>
              <w:t>Pasākumu vērtēšana atbilstoši Eiropas profilakses kvalitātes standartiem (EDPQS);</w:t>
            </w:r>
          </w:p>
          <w:p w14:paraId="644095A7" w14:textId="77777777" w:rsidR="009626AC" w:rsidRPr="00EF5DBE" w:rsidRDefault="00EF5DBE" w:rsidP="00EF5DBE">
            <w:pPr>
              <w:widowControl/>
              <w:spacing w:before="195"/>
              <w:jc w:val="left"/>
              <w:rPr>
                <w:rFonts w:asciiTheme="majorBidi" w:eastAsia="Times New Roman" w:hAnsiTheme="majorBidi" w:cstheme="majorBidi"/>
                <w:color w:val="414142"/>
                <w:szCs w:val="24"/>
                <w:lang w:val="lv-LV" w:eastAsia="lv-LV"/>
              </w:rPr>
            </w:pPr>
            <w:r w:rsidRPr="00EF5DBE">
              <w:rPr>
                <w:rFonts w:asciiTheme="majorBidi" w:hAnsiTheme="majorBidi" w:cstheme="majorBidi"/>
                <w:color w:val="000000" w:themeColor="text1"/>
                <w:szCs w:val="24"/>
                <w:lang w:val="lv-LV"/>
              </w:rPr>
              <w:t xml:space="preserve">Pētījuma ietvaros apzināti 64 narkotiku profilakses pasākumi, kas iedalīti sešos veidos: programmas, atbalsta grupas, lekcijas un nodarbības, informatīvās kampaņas, pasākumi speciālistiem un indicētās programmas. Daļa no tiem nav tieši vērsti uz narkotiku profilaksi, bet gan uz vispārēju atkarību risku mazināšanu vai veselīga dzīvesveida veicināšanu. Intervences aptver universālo, selektīvo un indicēto profilaksi, tomēr visbiežāk īstenotas ir tieši universālās aktivitātes. Profilakses sistēmā iesaistītas valsts institūcijas, pašvaldības, NVO un individuāli speciālisti, veidojot daudzslāņainu īstenotāju tīklu. Visbiežāk Latvijā tiek īstenoti dažādi informatīvi pasākumi, galvenokārt vienreizējas lekcijas. Tomēr pozitīvi vērtējams, ka aizvien plašāk tiek ieviestas strukturētas programmas (piemēram, </w:t>
            </w:r>
            <w:proofErr w:type="spellStart"/>
            <w:r w:rsidRPr="00EF5DBE">
              <w:rPr>
                <w:rFonts w:asciiTheme="majorBidi" w:hAnsiTheme="majorBidi" w:cstheme="majorBidi"/>
                <w:color w:val="000000" w:themeColor="text1"/>
                <w:szCs w:val="24"/>
                <w:lang w:val="lv-LV"/>
              </w:rPr>
              <w:t>Unplugged</w:t>
            </w:r>
            <w:proofErr w:type="spellEnd"/>
            <w:r w:rsidRPr="00EF5DBE">
              <w:rPr>
                <w:rFonts w:asciiTheme="majorBidi" w:hAnsiTheme="majorBidi" w:cstheme="majorBidi"/>
                <w:color w:val="000000" w:themeColor="text1"/>
                <w:szCs w:val="24"/>
                <w:lang w:val="lv-LV"/>
              </w:rPr>
              <w:t xml:space="preserve">, </w:t>
            </w:r>
            <w:proofErr w:type="spellStart"/>
            <w:r w:rsidRPr="00EF5DBE">
              <w:rPr>
                <w:rFonts w:asciiTheme="majorBidi" w:hAnsiTheme="majorBidi" w:cstheme="majorBidi"/>
                <w:color w:val="000000" w:themeColor="text1"/>
                <w:szCs w:val="24"/>
                <w:lang w:val="lv-LV"/>
              </w:rPr>
              <w:t>PreVenture</w:t>
            </w:r>
            <w:proofErr w:type="spellEnd"/>
            <w:r w:rsidRPr="00EF5DBE">
              <w:rPr>
                <w:rFonts w:asciiTheme="majorBidi" w:hAnsiTheme="majorBidi" w:cstheme="majorBidi"/>
                <w:color w:val="000000" w:themeColor="text1"/>
                <w:szCs w:val="24"/>
                <w:lang w:val="lv-LV"/>
              </w:rPr>
              <w:t>), kuru nodarbību saturs ir rūpīgi izstrādāts, balstīts teorijā un datos, lai nodrošinātu pēc iespējas efektīvāku pieeju.</w:t>
            </w:r>
          </w:p>
        </w:tc>
      </w:tr>
      <w:tr w:rsidR="00FB60BB" w:rsidRPr="00EF5DBE" w14:paraId="600BA774"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9BE4889"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Galvenās pētījuma tēmas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03F16DBD"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9626AC" w:rsidRPr="00EF5DBE">
              <w:rPr>
                <w:rFonts w:asciiTheme="majorBidi" w:eastAsia="Times New Roman" w:hAnsiTheme="majorBidi" w:cstheme="majorBidi"/>
                <w:color w:val="414142"/>
                <w:szCs w:val="24"/>
                <w:lang w:val="lv-LV" w:eastAsia="lv-LV"/>
              </w:rPr>
              <w:t xml:space="preserve">Narkotiku lietošanas profilakses pasākumi Latvijā un to atbilstība Eiropas profilakses </w:t>
            </w:r>
            <w:r w:rsidR="00EF5DBE" w:rsidRPr="00EF5DBE">
              <w:rPr>
                <w:rFonts w:asciiTheme="majorBidi" w:eastAsia="Times New Roman" w:hAnsiTheme="majorBidi" w:cstheme="majorBidi"/>
                <w:color w:val="414142"/>
                <w:szCs w:val="24"/>
                <w:lang w:val="lv-LV" w:eastAsia="lv-LV"/>
              </w:rPr>
              <w:t>kvalitātes</w:t>
            </w:r>
            <w:r w:rsidR="009626AC" w:rsidRPr="00EF5DBE">
              <w:rPr>
                <w:rFonts w:asciiTheme="majorBidi" w:eastAsia="Times New Roman" w:hAnsiTheme="majorBidi" w:cstheme="majorBidi"/>
                <w:color w:val="414142"/>
                <w:szCs w:val="24"/>
                <w:lang w:val="lv-LV" w:eastAsia="lv-LV"/>
              </w:rPr>
              <w:t xml:space="preserve"> standartiem</w:t>
            </w:r>
            <w:r w:rsidR="00EF5DBE" w:rsidRPr="00EF5DBE">
              <w:rPr>
                <w:rFonts w:asciiTheme="majorBidi" w:eastAsia="Times New Roman" w:hAnsiTheme="majorBidi" w:cstheme="majorBidi"/>
                <w:color w:val="414142"/>
                <w:szCs w:val="24"/>
                <w:lang w:val="lv-LV" w:eastAsia="lv-LV"/>
              </w:rPr>
              <w:t xml:space="preserve"> (EDPQS)</w:t>
            </w:r>
            <w:r w:rsidR="009626AC" w:rsidRPr="00EF5DBE">
              <w:rPr>
                <w:rFonts w:asciiTheme="majorBidi" w:eastAsia="Times New Roman" w:hAnsiTheme="majorBidi" w:cstheme="majorBidi"/>
                <w:color w:val="414142"/>
                <w:szCs w:val="24"/>
                <w:lang w:val="lv-LV" w:eastAsia="lv-LV"/>
              </w:rPr>
              <w:t xml:space="preserve">. </w:t>
            </w:r>
          </w:p>
        </w:tc>
      </w:tr>
      <w:tr w:rsidR="00FB60BB" w:rsidRPr="00EF5DBE" w14:paraId="06AA75CB"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A23E508"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Pētījuma pasūtītājs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0E164039"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9626AC" w:rsidRPr="00EF5DBE">
              <w:rPr>
                <w:rFonts w:asciiTheme="majorBidi" w:eastAsia="Times New Roman" w:hAnsiTheme="majorBidi" w:cstheme="majorBidi"/>
                <w:color w:val="414142"/>
                <w:szCs w:val="24"/>
                <w:lang w:val="lv-LV" w:eastAsia="lv-LV"/>
              </w:rPr>
              <w:t>Iekšlietu ministrija</w:t>
            </w:r>
          </w:p>
        </w:tc>
      </w:tr>
      <w:tr w:rsidR="00FB60BB" w:rsidRPr="00EF5DBE" w14:paraId="6D7053CE"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475B13B"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Pētījuma īstenotājs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421CFF06"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9626AC" w:rsidRPr="00EF5DBE">
              <w:rPr>
                <w:rFonts w:asciiTheme="majorBidi" w:eastAsia="Times New Roman" w:hAnsiTheme="majorBidi" w:cstheme="majorBidi"/>
                <w:color w:val="414142"/>
                <w:szCs w:val="24"/>
                <w:lang w:val="lv-LV" w:eastAsia="lv-LV"/>
              </w:rPr>
              <w:t>SIA “</w:t>
            </w:r>
            <w:proofErr w:type="spellStart"/>
            <w:r w:rsidR="009626AC" w:rsidRPr="00EF5DBE">
              <w:rPr>
                <w:rFonts w:asciiTheme="majorBidi" w:eastAsia="Times New Roman" w:hAnsiTheme="majorBidi" w:cstheme="majorBidi"/>
                <w:color w:val="414142"/>
                <w:szCs w:val="24"/>
                <w:lang w:val="lv-LV" w:eastAsia="lv-LV"/>
              </w:rPr>
              <w:t>Civitta</w:t>
            </w:r>
            <w:proofErr w:type="spellEnd"/>
            <w:r w:rsidR="009626AC" w:rsidRPr="00EF5DBE">
              <w:rPr>
                <w:rFonts w:asciiTheme="majorBidi" w:eastAsia="Times New Roman" w:hAnsiTheme="majorBidi" w:cstheme="majorBidi"/>
                <w:color w:val="414142"/>
                <w:szCs w:val="24"/>
                <w:lang w:val="lv-LV" w:eastAsia="lv-LV"/>
              </w:rPr>
              <w:t xml:space="preserve"> Latvija”</w:t>
            </w:r>
          </w:p>
        </w:tc>
      </w:tr>
      <w:tr w:rsidR="00FB60BB" w:rsidRPr="00EF5DBE" w14:paraId="02595969"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94C02BF"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Pētījuma īstenošanas gads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44120512"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9626AC" w:rsidRPr="00EF5DBE">
              <w:rPr>
                <w:rFonts w:asciiTheme="majorBidi" w:eastAsia="Times New Roman" w:hAnsiTheme="majorBidi" w:cstheme="majorBidi"/>
                <w:color w:val="414142"/>
                <w:szCs w:val="24"/>
                <w:lang w:val="lv-LV" w:eastAsia="lv-LV"/>
              </w:rPr>
              <w:t>2025. gad</w:t>
            </w:r>
            <w:r w:rsidR="00EF5DBE" w:rsidRPr="00EF5DBE">
              <w:rPr>
                <w:rFonts w:asciiTheme="majorBidi" w:eastAsia="Times New Roman" w:hAnsiTheme="majorBidi" w:cstheme="majorBidi"/>
                <w:color w:val="414142"/>
                <w:szCs w:val="24"/>
                <w:lang w:val="lv-LV" w:eastAsia="lv-LV"/>
              </w:rPr>
              <w:t>s</w:t>
            </w:r>
          </w:p>
        </w:tc>
      </w:tr>
      <w:tr w:rsidR="00FB60BB" w:rsidRPr="00EF5DBE" w14:paraId="070652C1"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8C7CAC4"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lastRenderedPageBreak/>
              <w:t>Pētījuma finansēšanas summa un finansēšanas avots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63BA8ED4"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roofErr w:type="gramStart"/>
            <w:r w:rsidR="009626AC" w:rsidRPr="00EF5DBE">
              <w:rPr>
                <w:rFonts w:asciiTheme="majorBidi" w:hAnsiTheme="majorBidi" w:cstheme="majorBidi"/>
                <w:szCs w:val="24"/>
              </w:rPr>
              <w:t xml:space="preserve">35 065,80 </w:t>
            </w:r>
            <w:r w:rsidR="009626AC" w:rsidRPr="00EF5DBE">
              <w:rPr>
                <w:rFonts w:asciiTheme="majorBidi" w:hAnsiTheme="majorBidi" w:cstheme="majorBidi"/>
                <w:i/>
                <w:iCs/>
                <w:szCs w:val="24"/>
              </w:rPr>
              <w:t>euro</w:t>
            </w:r>
            <w:proofErr w:type="gramEnd"/>
            <w:r w:rsidR="009626AC" w:rsidRPr="00EF5DBE">
              <w:rPr>
                <w:rFonts w:asciiTheme="majorBidi" w:hAnsiTheme="majorBidi" w:cstheme="majorBidi"/>
                <w:i/>
                <w:iCs/>
                <w:szCs w:val="24"/>
              </w:rPr>
              <w:t xml:space="preserve"> </w:t>
            </w:r>
            <w:proofErr w:type="spellStart"/>
            <w:r w:rsidR="009626AC" w:rsidRPr="00EF5DBE">
              <w:rPr>
                <w:rFonts w:asciiTheme="majorBidi" w:hAnsiTheme="majorBidi" w:cstheme="majorBidi"/>
                <w:i/>
                <w:iCs/>
                <w:szCs w:val="24"/>
              </w:rPr>
              <w:t>ar</w:t>
            </w:r>
            <w:proofErr w:type="spellEnd"/>
            <w:r w:rsidR="009626AC" w:rsidRPr="00EF5DBE">
              <w:rPr>
                <w:rFonts w:asciiTheme="majorBidi" w:hAnsiTheme="majorBidi" w:cstheme="majorBidi"/>
                <w:i/>
                <w:iCs/>
                <w:szCs w:val="24"/>
              </w:rPr>
              <w:t xml:space="preserve"> PVN</w:t>
            </w:r>
          </w:p>
        </w:tc>
      </w:tr>
      <w:tr w:rsidR="00FB60BB" w:rsidRPr="00EF5DBE" w14:paraId="4B095CC8"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8A173A2"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Pētījuma klasifikācija*</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04DDC634"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9626AC" w:rsidRPr="00EF5DBE">
              <w:rPr>
                <w:rFonts w:asciiTheme="majorBidi" w:eastAsia="Times New Roman" w:hAnsiTheme="majorBidi" w:cstheme="majorBidi"/>
                <w:color w:val="414142"/>
                <w:szCs w:val="24"/>
                <w:lang w:val="lv-LV" w:eastAsia="lv-LV"/>
              </w:rPr>
              <w:t>12.2. padziļinātas ekspertīzes pētījumi politikas vai tiesiskā regulējuma izstrādei, politikas analīzei un ietekmes novērtēšanai – pētījumi, kas tiek izstrādāti, lai iegūtu neatkarīgu analīzi par konkrētas politikas vai tiesiskā regulējuma izstrādes nepieciešamību, novērtētu esošās politikas vai regulējuma īstenošanu un sasniegtos rezultātu</w:t>
            </w:r>
          </w:p>
        </w:tc>
      </w:tr>
      <w:tr w:rsidR="00FB60BB" w:rsidRPr="00EF5DBE" w14:paraId="357E9F43"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1393EB8"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Pētījuma ģeogrāfiskais aptvērums</w:t>
            </w:r>
            <w:r w:rsidRPr="00EF5DBE">
              <w:rPr>
                <w:rFonts w:asciiTheme="majorBidi" w:eastAsia="Times New Roman" w:hAnsiTheme="majorBidi" w:cstheme="majorBidi"/>
                <w:color w:val="414142"/>
                <w:szCs w:val="24"/>
                <w:lang w:val="lv-LV" w:eastAsia="lv-LV"/>
              </w:rPr>
              <w:br/>
              <w:t>(visa Latvija vai noteikts reģions/novads)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4C27FF6C"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9626AC" w:rsidRPr="00EF5DBE">
              <w:rPr>
                <w:rFonts w:asciiTheme="majorBidi" w:eastAsia="Times New Roman" w:hAnsiTheme="majorBidi" w:cstheme="majorBidi"/>
                <w:color w:val="414142"/>
                <w:szCs w:val="24"/>
                <w:lang w:val="lv-LV" w:eastAsia="lv-LV"/>
              </w:rPr>
              <w:t xml:space="preserve">Visa Latvija. </w:t>
            </w:r>
          </w:p>
        </w:tc>
      </w:tr>
      <w:tr w:rsidR="00FB60BB" w:rsidRPr="00EF5DBE" w14:paraId="5BC4DD4C"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5B09CB0"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Pētījuma mērķa grupa/-as</w:t>
            </w:r>
            <w:r w:rsidRPr="00EF5DBE">
              <w:rPr>
                <w:rFonts w:asciiTheme="majorBidi" w:eastAsia="Times New Roman" w:hAnsiTheme="majorBidi" w:cstheme="majorBidi"/>
                <w:color w:val="414142"/>
                <w:szCs w:val="24"/>
                <w:lang w:val="lv-LV" w:eastAsia="lv-LV"/>
              </w:rPr>
              <w:br/>
              <w:t>(piemēram, Latvijas iedzīvotāji darbspējas vecumā)</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7377F37C" w14:textId="77777777" w:rsidR="00FB60BB" w:rsidRPr="00EF5DBE" w:rsidRDefault="009626AC"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xml:space="preserve">Politikas plānotāji, profilakses pasākumu plānotāji un īstenotāji. </w:t>
            </w:r>
          </w:p>
        </w:tc>
      </w:tr>
      <w:tr w:rsidR="00FB60BB" w:rsidRPr="00EF5DBE" w14:paraId="124A5595"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A6A9330"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Pētījumā izmantotās metodes atbilstoši informācijas ieguves veidam:</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559D6576"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r>
      <w:tr w:rsidR="00FB60BB" w:rsidRPr="00EF5DBE" w14:paraId="16FE33BD"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48C1F651"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54135C50"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1) tiesību aktu vai politikas plānošanas dokumentu analīze</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05C94F91"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r>
      <w:tr w:rsidR="00FB60BB" w:rsidRPr="00EF5DBE" w14:paraId="7154B40C"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311386C5"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5525F461"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2) statistikas datu analīze</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2C1D0BA6"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9626AC" w:rsidRPr="00EF5DBE">
              <w:rPr>
                <w:rFonts w:asciiTheme="majorBidi" w:eastAsia="Times New Roman" w:hAnsiTheme="majorBidi" w:cstheme="majorBidi"/>
                <w:color w:val="414142"/>
                <w:szCs w:val="24"/>
                <w:lang w:val="lv-LV" w:eastAsia="lv-LV"/>
              </w:rPr>
              <w:t>Jā</w:t>
            </w:r>
          </w:p>
        </w:tc>
      </w:tr>
      <w:tr w:rsidR="00FB60BB" w:rsidRPr="00EF5DBE" w14:paraId="05F0F7C0"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598C1AE8"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6EF11B82"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3) esošo pētījumu datu sekundārā analīze</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32B93347"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r>
      <w:tr w:rsidR="00FB60BB" w:rsidRPr="00EF5DBE" w14:paraId="1425917E"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085D22C5"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780BA4DF"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4) padziļināto/ekspertu interviju veikšana un analīze</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71C0FFE3"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9626AC" w:rsidRPr="00EF5DBE">
              <w:rPr>
                <w:rFonts w:asciiTheme="majorBidi" w:eastAsia="Times New Roman" w:hAnsiTheme="majorBidi" w:cstheme="majorBidi"/>
                <w:color w:val="414142"/>
                <w:szCs w:val="24"/>
                <w:lang w:val="lv-LV" w:eastAsia="lv-LV"/>
              </w:rPr>
              <w:t>Jā</w:t>
            </w:r>
          </w:p>
        </w:tc>
      </w:tr>
      <w:tr w:rsidR="00FB60BB" w:rsidRPr="00EF5DBE" w14:paraId="65BB57AB"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004B4327"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625BE15E"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5) fokusa grupu diskusiju veikšana un analīze</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79E1C7CF"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r>
      <w:tr w:rsidR="00FB60BB" w:rsidRPr="00EF5DBE" w14:paraId="76EBFE94"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5F1F248B"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48C9D824"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6) gadījumu izpēte</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0275A949"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9626AC" w:rsidRPr="00EF5DBE">
              <w:rPr>
                <w:rFonts w:asciiTheme="majorBidi" w:eastAsia="Times New Roman" w:hAnsiTheme="majorBidi" w:cstheme="majorBidi"/>
                <w:color w:val="414142"/>
                <w:szCs w:val="24"/>
                <w:lang w:val="lv-LV" w:eastAsia="lv-LV"/>
              </w:rPr>
              <w:t>Jā</w:t>
            </w:r>
          </w:p>
        </w:tc>
      </w:tr>
      <w:tr w:rsidR="00FB60BB" w:rsidRPr="00EF5DBE" w14:paraId="5B224C06"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56926249"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lastRenderedPageBreak/>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48D1784A"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7) kvantitatīvās aptaujas veikšana un datu analīze</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27008CB2"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r>
      <w:tr w:rsidR="00FB60BB" w:rsidRPr="00EF5DBE" w14:paraId="412C3E51"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4DCB6755"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0F4809F7"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8) citas metodes (norādīt, kādas)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59B2F34A"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9626AC" w:rsidRPr="00EF5DBE">
              <w:rPr>
                <w:rFonts w:asciiTheme="majorBidi" w:eastAsia="Times New Roman" w:hAnsiTheme="majorBidi" w:cstheme="majorBidi"/>
                <w:color w:val="414142"/>
                <w:szCs w:val="24"/>
                <w:lang w:val="lv-LV" w:eastAsia="lv-LV"/>
              </w:rPr>
              <w:t xml:space="preserve">Īstenot programmu izpēte un vērtējums atbilstoši kvalitātes standartiem. </w:t>
            </w:r>
          </w:p>
        </w:tc>
      </w:tr>
      <w:tr w:rsidR="00FB60BB" w:rsidRPr="00EF5DBE" w14:paraId="63496C0E"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95F7A7F"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Kvantitatīvās pētījuma metodes</w:t>
            </w:r>
            <w:r w:rsidRPr="00EF5DBE">
              <w:rPr>
                <w:rFonts w:asciiTheme="majorBidi" w:eastAsia="Times New Roman" w:hAnsiTheme="majorBidi" w:cstheme="majorBidi"/>
                <w:color w:val="414142"/>
                <w:szCs w:val="24"/>
                <w:lang w:val="lv-LV" w:eastAsia="lv-LV"/>
              </w:rPr>
              <w:br/>
              <w:t>(ja attiecināms):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3EEB4882"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r>
      <w:tr w:rsidR="00FB60BB" w:rsidRPr="00EF5DBE" w14:paraId="22A647D1"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12C34435"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681C670A"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1) aptaujas izlases metode</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24A9D6E8"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r>
      <w:tr w:rsidR="00FB60BB" w:rsidRPr="00EF5DBE" w14:paraId="50520015"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601DE5FB"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760CABD7"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2) aptaujāto/anketēto respondentu/vienību skaits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5F295941"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p>
        </w:tc>
      </w:tr>
      <w:tr w:rsidR="00FB60BB" w:rsidRPr="00EF5DBE" w14:paraId="1C378F11"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4DA0DED"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Kvalitatīvās pētījuma metodes</w:t>
            </w:r>
            <w:r w:rsidRPr="00EF5DBE">
              <w:rPr>
                <w:rFonts w:asciiTheme="majorBidi" w:eastAsia="Times New Roman" w:hAnsiTheme="majorBidi" w:cstheme="majorBidi"/>
                <w:color w:val="414142"/>
                <w:szCs w:val="24"/>
                <w:lang w:val="lv-LV" w:eastAsia="lv-LV"/>
              </w:rPr>
              <w:br/>
              <w:t>(ja attiecināms):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6C55374E"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r>
      <w:tr w:rsidR="00FB60BB" w:rsidRPr="00EF5DBE" w14:paraId="62988058"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1A785007"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14A2CFA6"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1) padziļināto/ekspertu interviju skaits (ja attiecināms)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4504C223"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EF5DBE" w:rsidRPr="00EF5DBE">
              <w:rPr>
                <w:rFonts w:asciiTheme="majorBidi" w:eastAsia="Times New Roman" w:hAnsiTheme="majorBidi" w:cstheme="majorBidi"/>
                <w:color w:val="414142"/>
                <w:szCs w:val="24"/>
                <w:lang w:val="lv-LV" w:eastAsia="lv-LV"/>
              </w:rPr>
              <w:t xml:space="preserve">Aptuveni 45. </w:t>
            </w:r>
          </w:p>
        </w:tc>
      </w:tr>
      <w:tr w:rsidR="00FB60BB" w:rsidRPr="00EF5DBE" w14:paraId="1FEEA7F7" w14:textId="77777777" w:rsidTr="009626AC">
        <w:tc>
          <w:tcPr>
            <w:tcW w:w="300" w:type="pct"/>
            <w:tcBorders>
              <w:top w:val="outset" w:sz="6" w:space="0" w:color="414142"/>
              <w:left w:val="outset" w:sz="6" w:space="0" w:color="414142"/>
              <w:bottom w:val="outset" w:sz="6" w:space="0" w:color="414142"/>
              <w:right w:val="nil"/>
            </w:tcBorders>
            <w:shd w:val="clear" w:color="auto" w:fill="FFFFFF"/>
            <w:hideMark/>
          </w:tcPr>
          <w:p w14:paraId="0F80A2B0"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c>
          <w:tcPr>
            <w:tcW w:w="1034" w:type="pct"/>
            <w:tcBorders>
              <w:top w:val="outset" w:sz="6" w:space="0" w:color="414142"/>
              <w:left w:val="nil"/>
              <w:bottom w:val="outset" w:sz="6" w:space="0" w:color="414142"/>
              <w:right w:val="outset" w:sz="6" w:space="0" w:color="414142"/>
            </w:tcBorders>
            <w:shd w:val="clear" w:color="auto" w:fill="FFFFFF"/>
            <w:hideMark/>
          </w:tcPr>
          <w:p w14:paraId="54EDF0EF"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2) fokusa grupu diskusiju skaits (ja attiecināms)</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4740E71A"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p>
        </w:tc>
      </w:tr>
      <w:tr w:rsidR="00FB60BB" w:rsidRPr="00EF5DBE" w14:paraId="30D69EDC"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1AE6834"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Izmantotās analīzes grupas (griezumi)</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3AE05295"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EF5DBE" w:rsidRPr="00EF5DBE">
              <w:rPr>
                <w:rFonts w:asciiTheme="majorBidi" w:eastAsia="Times New Roman" w:hAnsiTheme="majorBidi" w:cstheme="majorBidi"/>
                <w:color w:val="414142"/>
                <w:szCs w:val="24"/>
                <w:lang w:val="lv-LV" w:eastAsia="lv-LV"/>
              </w:rPr>
              <w:t>Īstenot narkotiku profilakses pasākumu skaits, mērķa grupa, īstenošanas forma;</w:t>
            </w:r>
          </w:p>
          <w:p w14:paraId="4ACCE0BD" w14:textId="77777777" w:rsidR="00EF5DBE" w:rsidRPr="00EF5DBE" w:rsidRDefault="00EF5DBE"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Katra pasākuma vērtējums atbilstošo Eiropas profilakses kvalitātes standartiem (EDPQS).</w:t>
            </w:r>
          </w:p>
        </w:tc>
      </w:tr>
      <w:tr w:rsidR="00FB60BB" w:rsidRPr="00EF5DBE" w14:paraId="5DAABBC7" w14:textId="77777777" w:rsidTr="009626AC">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4991C7D"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Pētījuma pasūtītāja kontaktinformācija</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70E6B495"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EF5DBE" w:rsidRPr="00EF5DBE">
              <w:rPr>
                <w:rFonts w:asciiTheme="majorBidi" w:eastAsia="Times New Roman" w:hAnsiTheme="majorBidi" w:cstheme="majorBidi"/>
                <w:color w:val="414142"/>
                <w:szCs w:val="24"/>
                <w:lang w:val="lv-LV" w:eastAsia="lv-LV"/>
              </w:rPr>
              <w:t xml:space="preserve">Iekšlietu ministrijas Nozares politikas departamenta vecākā eksperte Agnese Zīle; e-pasts: </w:t>
            </w:r>
            <w:hyperlink r:id="rId5" w:history="1">
              <w:r w:rsidR="00EF5DBE" w:rsidRPr="00EF5DBE">
                <w:rPr>
                  <w:rStyle w:val="Hyperlink"/>
                  <w:rFonts w:asciiTheme="majorBidi" w:eastAsia="Times New Roman" w:hAnsiTheme="majorBidi" w:cstheme="majorBidi"/>
                  <w:szCs w:val="24"/>
                  <w:lang w:val="lv-LV" w:eastAsia="lv-LV"/>
                </w:rPr>
                <w:t>agnese.zile@iem.gov.lv</w:t>
              </w:r>
            </w:hyperlink>
            <w:r w:rsidR="00EF5DBE" w:rsidRPr="00EF5DBE">
              <w:rPr>
                <w:rFonts w:asciiTheme="majorBidi" w:eastAsia="Times New Roman" w:hAnsiTheme="majorBidi" w:cstheme="majorBidi"/>
                <w:color w:val="414142"/>
                <w:szCs w:val="24"/>
                <w:lang w:val="lv-LV" w:eastAsia="lv-LV"/>
              </w:rPr>
              <w:t>; tālr.: 67219592</w:t>
            </w:r>
          </w:p>
        </w:tc>
      </w:tr>
      <w:tr w:rsidR="00FB60BB" w:rsidRPr="00EF5DBE" w14:paraId="7A91107A" w14:textId="77777777" w:rsidTr="009626AC">
        <w:trPr>
          <w:trHeight w:val="312"/>
        </w:trPr>
        <w:tc>
          <w:tcPr>
            <w:tcW w:w="13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9F2A0AC"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Pētījuma autori** (autortiesību subjekti)</w:t>
            </w:r>
          </w:p>
        </w:tc>
        <w:tc>
          <w:tcPr>
            <w:tcW w:w="3666" w:type="pct"/>
            <w:tcBorders>
              <w:top w:val="outset" w:sz="6" w:space="0" w:color="414142"/>
              <w:left w:val="outset" w:sz="6" w:space="0" w:color="414142"/>
              <w:bottom w:val="outset" w:sz="6" w:space="0" w:color="414142"/>
              <w:right w:val="outset" w:sz="6" w:space="0" w:color="414142"/>
            </w:tcBorders>
            <w:shd w:val="clear" w:color="auto" w:fill="FFFFFF"/>
            <w:hideMark/>
          </w:tcPr>
          <w:p w14:paraId="6C0AEF73" w14:textId="77777777" w:rsidR="00FB60BB" w:rsidRPr="00EF5DBE" w:rsidRDefault="00FB60BB" w:rsidP="00FB60BB">
            <w:pPr>
              <w:widowControl/>
              <w:spacing w:before="195"/>
              <w:jc w:val="left"/>
              <w:rPr>
                <w:rFonts w:asciiTheme="majorBidi" w:eastAsia="Times New Roman" w:hAnsiTheme="majorBidi" w:cstheme="majorBidi"/>
                <w:color w:val="414142"/>
                <w:szCs w:val="24"/>
                <w:lang w:val="lv-LV" w:eastAsia="lv-LV"/>
              </w:rPr>
            </w:pPr>
            <w:r w:rsidRPr="00EF5DBE">
              <w:rPr>
                <w:rFonts w:asciiTheme="majorBidi" w:eastAsia="Times New Roman" w:hAnsiTheme="majorBidi" w:cstheme="majorBidi"/>
                <w:color w:val="414142"/>
                <w:szCs w:val="24"/>
                <w:lang w:val="lv-LV" w:eastAsia="lv-LV"/>
              </w:rPr>
              <w:t> </w:t>
            </w:r>
            <w:r w:rsidR="00EF5DBE" w:rsidRPr="00EF5DBE">
              <w:rPr>
                <w:rFonts w:asciiTheme="majorBidi" w:eastAsia="Times New Roman" w:hAnsiTheme="majorBidi" w:cstheme="majorBidi"/>
                <w:color w:val="414142"/>
                <w:szCs w:val="24"/>
                <w:lang w:val="lv-LV" w:eastAsia="lv-LV"/>
              </w:rPr>
              <w:t>SIA “</w:t>
            </w:r>
            <w:proofErr w:type="spellStart"/>
            <w:r w:rsidR="00EF5DBE" w:rsidRPr="00EF5DBE">
              <w:rPr>
                <w:rFonts w:asciiTheme="majorBidi" w:eastAsia="Times New Roman" w:hAnsiTheme="majorBidi" w:cstheme="majorBidi"/>
                <w:color w:val="414142"/>
                <w:szCs w:val="24"/>
                <w:lang w:val="lv-LV" w:eastAsia="lv-LV"/>
              </w:rPr>
              <w:t>Civitta</w:t>
            </w:r>
            <w:proofErr w:type="spellEnd"/>
            <w:r w:rsidR="00EF5DBE" w:rsidRPr="00EF5DBE">
              <w:rPr>
                <w:rFonts w:asciiTheme="majorBidi" w:eastAsia="Times New Roman" w:hAnsiTheme="majorBidi" w:cstheme="majorBidi"/>
                <w:color w:val="414142"/>
                <w:szCs w:val="24"/>
                <w:lang w:val="lv-LV" w:eastAsia="lv-LV"/>
              </w:rPr>
              <w:t xml:space="preserve"> Latvija”</w:t>
            </w:r>
          </w:p>
        </w:tc>
      </w:tr>
    </w:tbl>
    <w:p w14:paraId="2A320258" w14:textId="77777777" w:rsidR="00FB60BB" w:rsidRPr="00FB60BB" w:rsidRDefault="00FB60BB" w:rsidP="00FB60BB">
      <w:pPr>
        <w:widowControl/>
        <w:shd w:val="clear" w:color="auto" w:fill="FFFFFF"/>
        <w:spacing w:before="100" w:beforeAutospacing="1" w:after="100" w:afterAutospacing="1" w:line="293" w:lineRule="atLeast"/>
        <w:jc w:val="left"/>
        <w:rPr>
          <w:rFonts w:ascii="Arial" w:eastAsia="Times New Roman" w:hAnsi="Arial" w:cs="Arial"/>
          <w:color w:val="414142"/>
          <w:sz w:val="20"/>
          <w:szCs w:val="20"/>
          <w:lang w:val="lv-LV" w:eastAsia="lv-LV"/>
        </w:rPr>
      </w:pPr>
      <w:r w:rsidRPr="00FB60BB">
        <w:rPr>
          <w:rFonts w:ascii="Arial" w:eastAsia="Times New Roman" w:hAnsi="Arial" w:cs="Arial"/>
          <w:color w:val="414142"/>
          <w:sz w:val="20"/>
          <w:szCs w:val="20"/>
          <w:lang w:val="lv-LV" w:eastAsia="lv-LV"/>
        </w:rPr>
        <w:t> </w:t>
      </w:r>
    </w:p>
    <w:p w14:paraId="5B90C4B5" w14:textId="77777777" w:rsidR="00FB60BB" w:rsidRPr="00FB60BB" w:rsidRDefault="00FB60BB" w:rsidP="00FB60BB">
      <w:pPr>
        <w:widowControl/>
        <w:shd w:val="clear" w:color="auto" w:fill="FFFFFF"/>
        <w:spacing w:before="100" w:beforeAutospacing="1" w:after="100" w:afterAutospacing="1" w:line="293" w:lineRule="atLeast"/>
        <w:ind w:firstLine="300"/>
        <w:jc w:val="left"/>
        <w:rPr>
          <w:rFonts w:ascii="Arial" w:eastAsia="Times New Roman" w:hAnsi="Arial" w:cs="Arial"/>
          <w:color w:val="414142"/>
          <w:sz w:val="20"/>
          <w:szCs w:val="20"/>
          <w:lang w:val="lv-LV" w:eastAsia="lv-LV"/>
        </w:rPr>
      </w:pPr>
      <w:r w:rsidRPr="00FB60BB">
        <w:rPr>
          <w:rFonts w:ascii="Arial" w:eastAsia="Times New Roman" w:hAnsi="Arial" w:cs="Arial"/>
          <w:color w:val="414142"/>
          <w:sz w:val="20"/>
          <w:szCs w:val="20"/>
          <w:lang w:val="lv-LV" w:eastAsia="lv-LV"/>
        </w:rPr>
        <w:t>Piezīmes.</w:t>
      </w:r>
    </w:p>
    <w:p w14:paraId="5BD72C51" w14:textId="77777777" w:rsidR="00FB60BB" w:rsidRPr="00FB60BB" w:rsidRDefault="00FB60BB" w:rsidP="00FB60BB">
      <w:pPr>
        <w:widowControl/>
        <w:shd w:val="clear" w:color="auto" w:fill="FFFFFF"/>
        <w:spacing w:before="100" w:beforeAutospacing="1" w:after="100" w:afterAutospacing="1" w:line="293" w:lineRule="atLeast"/>
        <w:ind w:firstLine="300"/>
        <w:jc w:val="left"/>
        <w:rPr>
          <w:rFonts w:ascii="Arial" w:eastAsia="Times New Roman" w:hAnsi="Arial" w:cs="Arial"/>
          <w:color w:val="414142"/>
          <w:sz w:val="20"/>
          <w:szCs w:val="20"/>
          <w:lang w:val="lv-LV" w:eastAsia="lv-LV"/>
        </w:rPr>
      </w:pPr>
      <w:r w:rsidRPr="00FB60BB">
        <w:rPr>
          <w:rFonts w:ascii="Arial" w:eastAsia="Times New Roman" w:hAnsi="Arial" w:cs="Arial"/>
          <w:color w:val="414142"/>
          <w:sz w:val="20"/>
          <w:szCs w:val="20"/>
          <w:lang w:val="lv-LV" w:eastAsia="lv-LV"/>
        </w:rPr>
        <w:lastRenderedPageBreak/>
        <w:t>1. * Pētījuma klasifikācijas grupa atbilstoši Ministru kabineta 2013. gada 3. janvāra noteikumu Nr. 1 "Kārtība, kādā publiska persona pasūta pētījumus"</w:t>
      </w:r>
      <w:hyperlink r:id="rId6" w:anchor="n2" w:history="1">
        <w:r w:rsidRPr="00FB60BB">
          <w:rPr>
            <w:rFonts w:ascii="Arial" w:eastAsia="Times New Roman" w:hAnsi="Arial" w:cs="Arial"/>
            <w:color w:val="16497B"/>
            <w:sz w:val="20"/>
            <w:szCs w:val="20"/>
            <w:u w:val="single"/>
            <w:lang w:val="lv-LV" w:eastAsia="lv-LV"/>
          </w:rPr>
          <w:t> II nodaļai</w:t>
        </w:r>
      </w:hyperlink>
      <w:r w:rsidRPr="00FB60BB">
        <w:rPr>
          <w:rFonts w:ascii="Arial" w:eastAsia="Times New Roman" w:hAnsi="Arial" w:cs="Arial"/>
          <w:color w:val="414142"/>
          <w:sz w:val="20"/>
          <w:szCs w:val="20"/>
          <w:lang w:val="lv-LV" w:eastAsia="lv-LV"/>
        </w:rPr>
        <w:t>.</w:t>
      </w:r>
    </w:p>
    <w:p w14:paraId="68CC1416" w14:textId="77777777" w:rsidR="00FB60BB" w:rsidRPr="00FB60BB" w:rsidRDefault="00FB60BB" w:rsidP="00FB60BB">
      <w:pPr>
        <w:widowControl/>
        <w:shd w:val="clear" w:color="auto" w:fill="FFFFFF"/>
        <w:spacing w:before="100" w:beforeAutospacing="1" w:after="100" w:afterAutospacing="1" w:line="293" w:lineRule="atLeast"/>
        <w:ind w:firstLine="300"/>
        <w:jc w:val="left"/>
        <w:rPr>
          <w:rFonts w:ascii="Arial" w:eastAsia="Times New Roman" w:hAnsi="Arial" w:cs="Arial"/>
          <w:color w:val="414142"/>
          <w:sz w:val="20"/>
          <w:szCs w:val="20"/>
          <w:lang w:val="lv-LV" w:eastAsia="lv-LV"/>
        </w:rPr>
      </w:pPr>
      <w:r w:rsidRPr="00FB60BB">
        <w:rPr>
          <w:rFonts w:ascii="Arial" w:eastAsia="Times New Roman" w:hAnsi="Arial" w:cs="Arial"/>
          <w:color w:val="414142"/>
          <w:sz w:val="20"/>
          <w:szCs w:val="20"/>
          <w:lang w:val="lv-LV" w:eastAsia="lv-LV"/>
        </w:rPr>
        <w:t>2. ** Atbilstoši pētījuma īstenotāja sniegtajai informācijai.</w:t>
      </w:r>
    </w:p>
    <w:p w14:paraId="782B8913" w14:textId="77777777" w:rsidR="00155F5C" w:rsidRPr="00FB60BB" w:rsidRDefault="00155F5C">
      <w:pPr>
        <w:rPr>
          <w:lang w:val="lv-LV"/>
        </w:rPr>
      </w:pPr>
    </w:p>
    <w:sectPr w:rsidR="00155F5C" w:rsidRPr="00FB60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02B1"/>
    <w:multiLevelType w:val="hybridMultilevel"/>
    <w:tmpl w:val="2A2884DE"/>
    <w:lvl w:ilvl="0" w:tplc="C6CC21B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A1B6D87"/>
    <w:multiLevelType w:val="hybridMultilevel"/>
    <w:tmpl w:val="37529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A1D7DE9"/>
    <w:multiLevelType w:val="hybridMultilevel"/>
    <w:tmpl w:val="34FAA9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D0D4221"/>
    <w:multiLevelType w:val="multilevel"/>
    <w:tmpl w:val="158E5D48"/>
    <w:styleLink w:val="Virsrakstinumureti"/>
    <w:lvl w:ilvl="0">
      <w:start w:val="1"/>
      <w:numFmt w:val="decimal"/>
      <w:lvlText w:val="%1."/>
      <w:lvlJc w:val="left"/>
      <w:pPr>
        <w:ind w:left="360" w:hanging="360"/>
      </w:pPr>
      <w:rPr>
        <w:rFonts w:ascii="Times New Roman" w:hAnsi="Times New Roman"/>
        <w:b w:val="0"/>
        <w:sz w:val="24"/>
        <w:szCs w:val="24"/>
      </w:rPr>
    </w:lvl>
    <w:lvl w:ilvl="1">
      <w:start w:val="1"/>
      <w:numFmt w:val="decimal"/>
      <w:lvlText w:val="%1.%2."/>
      <w:lvlJc w:val="left"/>
      <w:pPr>
        <w:ind w:left="360" w:hanging="360"/>
      </w:pPr>
      <w:rPr>
        <w:rFonts w:ascii="Times New Roman" w:hAnsi="Times New Roman" w:cs="Times New Roman"/>
        <w:sz w:val="24"/>
      </w:rPr>
    </w:lvl>
    <w:lvl w:ilvl="2">
      <w:start w:val="1"/>
      <w:numFmt w:val="decimal"/>
      <w:lvlText w:val="%1.%2.%3."/>
      <w:lvlJc w:val="left"/>
      <w:pPr>
        <w:ind w:left="2160" w:hanging="720"/>
      </w:pPr>
    </w:lvl>
    <w:lvl w:ilvl="3">
      <w:start w:val="1"/>
      <w:numFmt w:val="decimal"/>
      <w:lvlText w:val="%1.%2.%3.%4."/>
      <w:lvlJc w:val="left"/>
      <w:pPr>
        <w:ind w:left="1571"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BB"/>
    <w:rsid w:val="00111F71"/>
    <w:rsid w:val="00155F5C"/>
    <w:rsid w:val="003C5FF8"/>
    <w:rsid w:val="004A00A6"/>
    <w:rsid w:val="005A080C"/>
    <w:rsid w:val="00667DDE"/>
    <w:rsid w:val="006968F6"/>
    <w:rsid w:val="006B73C4"/>
    <w:rsid w:val="007645AA"/>
    <w:rsid w:val="007F2129"/>
    <w:rsid w:val="009626AC"/>
    <w:rsid w:val="009C5337"/>
    <w:rsid w:val="00CB61A3"/>
    <w:rsid w:val="00EF5DBE"/>
    <w:rsid w:val="00F604A8"/>
    <w:rsid w:val="00FB60B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6297"/>
  <w15:chartTrackingRefBased/>
  <w15:docId w15:val="{FD34A3B5-86C3-4C8A-8A16-823A6B06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AA"/>
    <w:pPr>
      <w:widowControl w:val="0"/>
      <w:spacing w:after="0" w:line="240" w:lineRule="auto"/>
      <w:jc w:val="both"/>
    </w:pPr>
    <w:rPr>
      <w:rFonts w:ascii="Times New Roman" w:hAnsi="Times New Roman" w:cs="Times New Roman"/>
      <w:sz w:val="24"/>
      <w:lang w:val="en-US"/>
    </w:rPr>
  </w:style>
  <w:style w:type="paragraph" w:styleId="Heading1">
    <w:name w:val="heading 1"/>
    <w:basedOn w:val="Normal"/>
    <w:next w:val="Normal"/>
    <w:link w:val="Heading1Char"/>
    <w:autoRedefine/>
    <w:uiPriority w:val="9"/>
    <w:qFormat/>
    <w:rsid w:val="00111F71"/>
    <w:pPr>
      <w:keepNext/>
      <w:keepLines/>
      <w:outlineLvl w:val="0"/>
    </w:pPr>
    <w:rPr>
      <w:rFonts w:ascii="Times New Roman Bold" w:eastAsiaTheme="majorEastAsia" w:hAnsi="Times New Roman Bold"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Virsrakstinumureti">
    <w:name w:val="Virsraksti numureti"/>
    <w:basedOn w:val="NoList"/>
    <w:uiPriority w:val="99"/>
    <w:rsid w:val="006B73C4"/>
    <w:pPr>
      <w:numPr>
        <w:numId w:val="3"/>
      </w:numPr>
    </w:pPr>
  </w:style>
  <w:style w:type="character" w:customStyle="1" w:styleId="Heading1Char">
    <w:name w:val="Heading 1 Char"/>
    <w:basedOn w:val="DefaultParagraphFont"/>
    <w:link w:val="Heading1"/>
    <w:uiPriority w:val="9"/>
    <w:rsid w:val="00111F71"/>
    <w:rPr>
      <w:rFonts w:ascii="Times New Roman Bold" w:eastAsiaTheme="majorEastAsia" w:hAnsi="Times New Roman Bold" w:cstheme="majorBidi"/>
      <w:b/>
      <w:sz w:val="24"/>
      <w:szCs w:val="32"/>
    </w:rPr>
  </w:style>
  <w:style w:type="paragraph" w:styleId="NormalWeb">
    <w:name w:val="Normal (Web)"/>
    <w:basedOn w:val="Normal"/>
    <w:uiPriority w:val="99"/>
    <w:semiHidden/>
    <w:unhideWhenUsed/>
    <w:rsid w:val="00FB60BB"/>
    <w:pPr>
      <w:widowControl/>
      <w:spacing w:before="100" w:beforeAutospacing="1" w:after="100" w:afterAutospacing="1"/>
      <w:jc w:val="left"/>
    </w:pPr>
    <w:rPr>
      <w:rFonts w:eastAsia="Times New Roman"/>
      <w:szCs w:val="24"/>
      <w:lang w:val="lv-LV" w:eastAsia="lv-LV"/>
    </w:rPr>
  </w:style>
  <w:style w:type="character" w:styleId="Strong">
    <w:name w:val="Strong"/>
    <w:basedOn w:val="DefaultParagraphFont"/>
    <w:uiPriority w:val="22"/>
    <w:qFormat/>
    <w:rsid w:val="00FB60BB"/>
    <w:rPr>
      <w:b/>
      <w:bCs/>
    </w:rPr>
  </w:style>
  <w:style w:type="paragraph" w:customStyle="1" w:styleId="tv213">
    <w:name w:val="tv213"/>
    <w:basedOn w:val="Normal"/>
    <w:rsid w:val="00FB60BB"/>
    <w:pPr>
      <w:widowControl/>
      <w:spacing w:before="100" w:beforeAutospacing="1" w:after="100" w:afterAutospacing="1"/>
      <w:jc w:val="left"/>
    </w:pPr>
    <w:rPr>
      <w:rFonts w:eastAsia="Times New Roman"/>
      <w:szCs w:val="24"/>
      <w:lang w:val="lv-LV" w:eastAsia="lv-LV"/>
    </w:rPr>
  </w:style>
  <w:style w:type="character" w:styleId="Hyperlink">
    <w:name w:val="Hyperlink"/>
    <w:basedOn w:val="DefaultParagraphFont"/>
    <w:uiPriority w:val="99"/>
    <w:unhideWhenUsed/>
    <w:rsid w:val="00FB60BB"/>
    <w:rPr>
      <w:color w:val="0000FF"/>
      <w:u w:val="single"/>
    </w:rPr>
  </w:style>
  <w:style w:type="paragraph" w:styleId="ListParagraph">
    <w:name w:val="List Paragraph"/>
    <w:basedOn w:val="Normal"/>
    <w:uiPriority w:val="34"/>
    <w:qFormat/>
    <w:rsid w:val="009626AC"/>
    <w:pPr>
      <w:ind w:left="720"/>
      <w:contextualSpacing/>
    </w:pPr>
  </w:style>
  <w:style w:type="character" w:styleId="Emphasis">
    <w:name w:val="Emphasis"/>
    <w:basedOn w:val="DefaultParagraphFont"/>
    <w:uiPriority w:val="20"/>
    <w:qFormat/>
    <w:rsid w:val="009626AC"/>
    <w:rPr>
      <w:i/>
      <w:iCs/>
    </w:rPr>
  </w:style>
  <w:style w:type="character" w:styleId="UnresolvedMention">
    <w:name w:val="Unresolved Mention"/>
    <w:basedOn w:val="DefaultParagraphFont"/>
    <w:uiPriority w:val="99"/>
    <w:semiHidden/>
    <w:unhideWhenUsed/>
    <w:rsid w:val="00EF5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174743">
      <w:bodyDiv w:val="1"/>
      <w:marLeft w:val="0"/>
      <w:marRight w:val="0"/>
      <w:marTop w:val="0"/>
      <w:marBottom w:val="0"/>
      <w:divBdr>
        <w:top w:val="none" w:sz="0" w:space="0" w:color="auto"/>
        <w:left w:val="none" w:sz="0" w:space="0" w:color="auto"/>
        <w:bottom w:val="none" w:sz="0" w:space="0" w:color="auto"/>
        <w:right w:val="none" w:sz="0" w:space="0" w:color="auto"/>
      </w:divBdr>
      <w:divsChild>
        <w:div w:id="1156070868">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53865" TargetMode="External"/><Relationship Id="rId5" Type="http://schemas.openxmlformats.org/officeDocument/2006/relationships/hyperlink" Target="mailto:agnese.zile@i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2705</Words>
  <Characters>1542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Kalnača</dc:creator>
  <cp:keywords/>
  <dc:description/>
  <cp:lastModifiedBy>Tatjana Varša</cp:lastModifiedBy>
  <cp:revision>2</cp:revision>
  <dcterms:created xsi:type="dcterms:W3CDTF">2026-01-06T08:38:00Z</dcterms:created>
  <dcterms:modified xsi:type="dcterms:W3CDTF">2026-01-06T08:38:00Z</dcterms:modified>
</cp:coreProperties>
</file>