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2AFB" w14:textId="77777777" w:rsidR="00CD679D" w:rsidRPr="00CD679D" w:rsidRDefault="00CD679D" w:rsidP="00CD679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val="lv-LV" w:eastAsia="lv-LV"/>
        </w:rPr>
      </w:pPr>
      <w:r w:rsidRPr="00CD679D">
        <w:rPr>
          <w:rFonts w:ascii="Arial" w:eastAsia="Times New Roman" w:hAnsi="Arial" w:cs="Arial"/>
          <w:color w:val="414142"/>
          <w:sz w:val="20"/>
          <w:szCs w:val="20"/>
          <w:lang w:val="lv-LV" w:eastAsia="lv-LV"/>
        </w:rPr>
        <w:t>3. pielikums</w:t>
      </w:r>
      <w:r w:rsidRPr="00CD679D">
        <w:rPr>
          <w:rFonts w:ascii="Arial" w:eastAsia="Times New Roman" w:hAnsi="Arial" w:cs="Arial"/>
          <w:color w:val="414142"/>
          <w:sz w:val="20"/>
          <w:szCs w:val="20"/>
          <w:lang w:val="lv-LV" w:eastAsia="lv-LV"/>
        </w:rPr>
        <w:br/>
        <w:t>Ministru kabineta</w:t>
      </w:r>
      <w:r w:rsidRPr="00CD679D">
        <w:rPr>
          <w:rFonts w:ascii="Arial" w:eastAsia="Times New Roman" w:hAnsi="Arial" w:cs="Arial"/>
          <w:color w:val="414142"/>
          <w:sz w:val="20"/>
          <w:szCs w:val="20"/>
          <w:lang w:val="lv-LV" w:eastAsia="lv-LV"/>
        </w:rPr>
        <w:br/>
        <w:t>2013.gada 3.janvāra</w:t>
      </w:r>
      <w:r w:rsidRPr="00CD679D">
        <w:rPr>
          <w:rFonts w:ascii="Arial" w:eastAsia="Times New Roman" w:hAnsi="Arial" w:cs="Arial"/>
          <w:color w:val="414142"/>
          <w:sz w:val="20"/>
          <w:szCs w:val="20"/>
          <w:lang w:val="lv-LV" w:eastAsia="lv-LV"/>
        </w:rPr>
        <w:br/>
        <w:t>noteikumiem Nr. 1</w:t>
      </w:r>
      <w:bookmarkStart w:id="0" w:name="piel-1127847"/>
      <w:bookmarkEnd w:id="0"/>
    </w:p>
    <w:p w14:paraId="644FB62C" w14:textId="77777777" w:rsidR="00CD679D" w:rsidRDefault="00CD679D" w:rsidP="00CD679D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val="lv-LV" w:eastAsia="lv-LV"/>
        </w:rPr>
      </w:pPr>
      <w:r w:rsidRPr="00CD679D">
        <w:rPr>
          <w:rFonts w:ascii="Arial" w:eastAsia="Times New Roman" w:hAnsi="Arial" w:cs="Arial"/>
          <w:i/>
          <w:iCs/>
          <w:color w:val="414142"/>
          <w:sz w:val="20"/>
          <w:szCs w:val="20"/>
          <w:lang w:val="lv-LV" w:eastAsia="lv-LV"/>
        </w:rPr>
        <w:t>(Pielikums MK </w:t>
      </w:r>
      <w:hyperlink r:id="rId6" w:tgtFrame="_blank" w:history="1">
        <w:r w:rsidRPr="00CD679D">
          <w:rPr>
            <w:rFonts w:ascii="Arial" w:eastAsia="Times New Roman" w:hAnsi="Arial" w:cs="Arial"/>
            <w:i/>
            <w:iCs/>
            <w:color w:val="16497B"/>
            <w:sz w:val="17"/>
            <w:szCs w:val="17"/>
            <w:u w:val="single"/>
            <w:lang w:val="lv-LV" w:eastAsia="lv-LV"/>
          </w:rPr>
          <w:t>30.08.2022.</w:t>
        </w:r>
      </w:hyperlink>
      <w:r w:rsidRPr="00CD679D">
        <w:rPr>
          <w:rFonts w:ascii="Arial" w:eastAsia="Times New Roman" w:hAnsi="Arial" w:cs="Arial"/>
          <w:i/>
          <w:iCs/>
          <w:color w:val="414142"/>
          <w:sz w:val="20"/>
          <w:szCs w:val="20"/>
          <w:lang w:val="lv-LV" w:eastAsia="lv-LV"/>
        </w:rPr>
        <w:t> noteikumu Nr. 541 redakcijā)</w:t>
      </w:r>
    </w:p>
    <w:p w14:paraId="55B43E4A" w14:textId="77777777" w:rsidR="00CD679D" w:rsidRDefault="00CD679D" w:rsidP="00CD679D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val="lv-LV" w:eastAsia="lv-LV"/>
        </w:rPr>
      </w:pPr>
    </w:p>
    <w:p w14:paraId="1FFEBAC9" w14:textId="77777777" w:rsidR="00CD679D" w:rsidRPr="00CD679D" w:rsidRDefault="00CD679D" w:rsidP="00CD679D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val="lv-LV" w:eastAsia="lv-LV"/>
        </w:rPr>
      </w:pPr>
    </w:p>
    <w:tbl>
      <w:tblPr>
        <w:tblW w:w="9008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"/>
        <w:gridCol w:w="540"/>
        <w:gridCol w:w="2771"/>
        <w:gridCol w:w="85"/>
        <w:gridCol w:w="5529"/>
        <w:gridCol w:w="76"/>
      </w:tblGrid>
      <w:tr w:rsidR="00CD679D" w:rsidRPr="00AA7C8B" w14:paraId="5EE6A103" w14:textId="77777777" w:rsidTr="00CD679D">
        <w:trPr>
          <w:gridAfter w:val="1"/>
          <w:wAfter w:w="42" w:type="pct"/>
          <w:jc w:val="center"/>
        </w:trPr>
        <w:tc>
          <w:tcPr>
            <w:tcW w:w="1842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0CB1C4" w14:textId="6D49D9C8" w:rsidR="00CD679D" w:rsidRPr="00CD679D" w:rsidRDefault="00CD679D" w:rsidP="00CD679D">
            <w:pPr>
              <w:spacing w:before="120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Anotācija pētījumam:</w:t>
            </w:r>
          </w:p>
        </w:tc>
        <w:tc>
          <w:tcPr>
            <w:tcW w:w="3116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F0C88BD" w14:textId="4ACA1B2F" w:rsidR="00CD679D" w:rsidRPr="00CD679D" w:rsidRDefault="00CD679D" w:rsidP="00CD679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 w:eastAsia="lv-LV"/>
              </w:rPr>
              <w:t xml:space="preserve">Punkta </w:t>
            </w:r>
            <w:proofErr w:type="spellStart"/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 w:eastAsia="lv-LV"/>
              </w:rPr>
              <w:t>prevalences</w:t>
            </w:r>
            <w:proofErr w:type="spellEnd"/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 w:eastAsia="lv-LV"/>
              </w:rPr>
              <w:t xml:space="preserve"> pētījums: ar veselības aprūpi saistītu infekciju </w:t>
            </w:r>
            <w:proofErr w:type="spellStart"/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 w:eastAsia="lv-LV"/>
              </w:rPr>
              <w:t>prevalence</w:t>
            </w:r>
            <w:proofErr w:type="spellEnd"/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 w:eastAsia="lv-LV"/>
              </w:rPr>
              <w:t xml:space="preserve"> un </w:t>
            </w:r>
            <w:proofErr w:type="spellStart"/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 w:eastAsia="lv-LV"/>
              </w:rPr>
              <w:t>antimikrobiālo</w:t>
            </w:r>
            <w:proofErr w:type="spellEnd"/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 w:eastAsia="lv-LV"/>
              </w:rPr>
              <w:t xml:space="preserve"> līdzekļu lietošana ilgstošās sociālās aprūpes iestādēs Latvijā</w:t>
            </w:r>
          </w:p>
        </w:tc>
      </w:tr>
      <w:tr w:rsidR="00CD679D" w:rsidRPr="00CD679D" w14:paraId="60FA73F6" w14:textId="77777777" w:rsidTr="00CD679D">
        <w:trPr>
          <w:gridAfter w:val="1"/>
          <w:wAfter w:w="42" w:type="pct"/>
          <w:jc w:val="center"/>
        </w:trPr>
        <w:tc>
          <w:tcPr>
            <w:tcW w:w="1842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BBCE93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3116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FF0B91D" w14:textId="77777777" w:rsidR="00CD679D" w:rsidRPr="00CD679D" w:rsidRDefault="00CD679D" w:rsidP="00CD679D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(pētījuma nosaukums)</w:t>
            </w:r>
          </w:p>
        </w:tc>
      </w:tr>
      <w:tr w:rsidR="00CD679D" w:rsidRPr="00AA7C8B" w14:paraId="366A546A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E7C112" w14:textId="55612B38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Arial" w:eastAsia="Times New Roman" w:hAnsi="Arial" w:cs="Arial"/>
                <w:color w:val="414142"/>
                <w:sz w:val="20"/>
                <w:szCs w:val="20"/>
                <w:lang w:val="lv-LV" w:eastAsia="lv-LV"/>
              </w:rPr>
              <w:t> </w:t>
            </w:r>
          </w:p>
          <w:p w14:paraId="32E68976" w14:textId="77777777" w:rsidR="00CD679D" w:rsidRPr="00CD679D" w:rsidRDefault="00CD679D" w:rsidP="00CD679D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mērķis, uzdevumi un galvenie rezultāti latviešu valodā</w:t>
            </w:r>
            <w:r w:rsidRPr="00CD679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 (brīvā tekstā, aptuveni 150 vārdu)</w:t>
            </w:r>
          </w:p>
          <w:p w14:paraId="51343701" w14:textId="77777777" w:rsidR="00CD679D" w:rsidRPr="00CD679D" w:rsidRDefault="00CD679D" w:rsidP="00CD679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F30B4D" w14:textId="6EA657D7" w:rsidR="00CD679D" w:rsidRPr="00012273" w:rsidRDefault="00CD679D" w:rsidP="00CD679D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 </w:t>
            </w:r>
            <w:r w:rsidRPr="000122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lv-LV"/>
              </w:rPr>
              <w:t>Pētījuma mērķis</w:t>
            </w:r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: Noskaidrot ar veselības aprūpi saistītu infekciju </w:t>
            </w:r>
            <w:proofErr w:type="spellStart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prevalenci</w:t>
            </w:r>
            <w:proofErr w:type="spellEnd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un </w:t>
            </w:r>
            <w:proofErr w:type="spellStart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antimikrobiālo</w:t>
            </w:r>
            <w:proofErr w:type="spellEnd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līdzekļu lietošanu ilgstošas sociālās aprūpes iestādēs Latvijā.</w:t>
            </w:r>
          </w:p>
          <w:p w14:paraId="1B053DE0" w14:textId="77777777" w:rsidR="00CD679D" w:rsidRPr="00012273" w:rsidRDefault="00CD679D" w:rsidP="00CD6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lv-LV"/>
              </w:rPr>
            </w:pPr>
            <w:r w:rsidRPr="000122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lv-LV"/>
              </w:rPr>
              <w:t xml:space="preserve">Pētījuma uzdevumi: </w:t>
            </w:r>
          </w:p>
          <w:p w14:paraId="332376FE" w14:textId="62A3D7C8" w:rsidR="00CD679D" w:rsidRPr="00012273" w:rsidRDefault="00CD679D" w:rsidP="00CD679D">
            <w:pPr>
              <w:pStyle w:val="ListParagraph"/>
              <w:numPr>
                <w:ilvl w:val="0"/>
                <w:numId w:val="20"/>
              </w:numPr>
              <w:spacing w:before="195" w:after="0" w:line="240" w:lineRule="auto"/>
              <w:ind w:left="420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Iegūt datus par ilgstošas sociālās aprūpes iestādi un veselības aprūpes organizāciju un veselības aprūpes saņemšanas iespējām klientiem tajā.</w:t>
            </w:r>
          </w:p>
          <w:p w14:paraId="7298C616" w14:textId="2820D39C" w:rsidR="00CD679D" w:rsidRPr="00012273" w:rsidRDefault="00CD679D" w:rsidP="00CD679D">
            <w:pPr>
              <w:pStyle w:val="ListParagraph"/>
              <w:numPr>
                <w:ilvl w:val="0"/>
                <w:numId w:val="20"/>
              </w:numPr>
              <w:spacing w:before="195" w:after="0" w:line="240" w:lineRule="auto"/>
              <w:ind w:left="420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Iegūt datus par ilgstošas sociālās aprūpes iestādes klientiem saistībā ar veselības aprūpi saistītām infekcijām, to riska faktoriem.</w:t>
            </w:r>
          </w:p>
          <w:p w14:paraId="69F435B2" w14:textId="0FE6C003" w:rsidR="00CD679D" w:rsidRPr="00012273" w:rsidRDefault="00CD679D" w:rsidP="00CD679D">
            <w:pPr>
              <w:pStyle w:val="ListParagraph"/>
              <w:numPr>
                <w:ilvl w:val="0"/>
                <w:numId w:val="20"/>
              </w:numPr>
              <w:spacing w:before="195" w:after="0" w:line="240" w:lineRule="auto"/>
              <w:ind w:left="420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Iegūt informāciju par infekciju kontroles pasākumu īstenošanu un </w:t>
            </w:r>
            <w:proofErr w:type="spellStart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antimikrobiālo</w:t>
            </w:r>
            <w:proofErr w:type="spellEnd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līdzekļu reālo lietojumu ilgstošas sociālās aprūpes iestādē.</w:t>
            </w:r>
          </w:p>
          <w:p w14:paraId="58BCE9AB" w14:textId="77777777" w:rsidR="00CD679D" w:rsidRPr="00012273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lv-LV"/>
              </w:rPr>
            </w:pPr>
            <w:r w:rsidRPr="000122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lv-LV"/>
              </w:rPr>
              <w:t>Galvenie rezultāti :</w:t>
            </w:r>
          </w:p>
          <w:p w14:paraId="2D030C4E" w14:textId="352DD452" w:rsidR="00CD679D" w:rsidRPr="00012273" w:rsidRDefault="00CD679D" w:rsidP="00012273">
            <w:pPr>
              <w:pStyle w:val="ListParagraph"/>
              <w:numPr>
                <w:ilvl w:val="0"/>
                <w:numId w:val="22"/>
              </w:numPr>
              <w:spacing w:before="195" w:after="0" w:line="240" w:lineRule="auto"/>
              <w:ind w:left="420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VASI </w:t>
            </w:r>
            <w:proofErr w:type="spellStart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prevalence</w:t>
            </w:r>
            <w:proofErr w:type="spellEnd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: 0,68 % (26 aktīvi gadījumi jeb ~7 uz 1000 iemītniekiem), kas ir zemāks nekā Eiropas vidējais rādītājs (3,1 %).</w:t>
            </w:r>
          </w:p>
          <w:p w14:paraId="68FBC594" w14:textId="3F4BD81C" w:rsidR="00CD679D" w:rsidRPr="00012273" w:rsidRDefault="00CD679D" w:rsidP="00012273">
            <w:pPr>
              <w:pStyle w:val="ListParagraph"/>
              <w:numPr>
                <w:ilvl w:val="0"/>
                <w:numId w:val="22"/>
              </w:numPr>
              <w:spacing w:before="195" w:after="0" w:line="240" w:lineRule="auto"/>
              <w:ind w:left="420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Mikrobioloģiskie izmeklējumi netiek veikti; </w:t>
            </w:r>
            <w:proofErr w:type="spellStart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uzsējumu</w:t>
            </w:r>
            <w:proofErr w:type="spellEnd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rezultāti dokumentācijā bieži nav pieejami, tādējādi ierobežojot iespējas izvērtēt antibiotiku terapijas pamatotību un atbilstību racionālas lietošanas principiem.</w:t>
            </w:r>
          </w:p>
          <w:p w14:paraId="1DD7B647" w14:textId="1081D71D" w:rsidR="00CD679D" w:rsidRPr="00012273" w:rsidRDefault="00CD679D" w:rsidP="00012273">
            <w:pPr>
              <w:pStyle w:val="ListParagraph"/>
              <w:numPr>
                <w:ilvl w:val="0"/>
                <w:numId w:val="22"/>
              </w:numPr>
              <w:spacing w:before="195" w:after="0" w:line="240" w:lineRule="auto"/>
              <w:ind w:left="420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proofErr w:type="spellStart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Antimikrobiālo</w:t>
            </w:r>
            <w:proofErr w:type="spellEnd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līdzekļu lietošana: kopumā zema; antibiotikas pārsvarā nozīmē ģimenes ārsti vai stacionāri ārpus iestādes. Infekciju profilakses kapacitāte: visās iestādēs ir vismaz viens darbinieks, apmācīts infekciju kontroles jautājumos; tikai 65,7 % veic regulāru infekciju politikas auditu, 68,6 % ir izstrādāti aprūpes protokoli; </w:t>
            </w:r>
            <w:proofErr w:type="spellStart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multirezistentu</w:t>
            </w:r>
            <w:proofErr w:type="spellEnd"/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mikroorganismu uzskaite notiek tikai 37,1 % iestāžu.</w:t>
            </w:r>
          </w:p>
          <w:p w14:paraId="5B2F089D" w14:textId="10FBC643" w:rsidR="00CD679D" w:rsidRPr="00012273" w:rsidRDefault="00CD679D" w:rsidP="00012273">
            <w:pPr>
              <w:pStyle w:val="ListParagraph"/>
              <w:numPr>
                <w:ilvl w:val="0"/>
                <w:numId w:val="22"/>
              </w:numPr>
              <w:spacing w:before="195" w:after="0" w:line="240" w:lineRule="auto"/>
              <w:ind w:left="420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012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lastRenderedPageBreak/>
              <w:t>Vakcinācija: nepietiekama gan iemītnieku, gan personāla vidū. Apmēram divas trešdaļas iestāžu nodrošina gripas vakcināciju iemītniekiem; personāla vakcinācija un COVID-19 imunizācija tiek īstenota nevienmērīgi.</w:t>
            </w:r>
          </w:p>
        </w:tc>
      </w:tr>
      <w:tr w:rsidR="00CD679D" w:rsidRPr="00AA7C8B" w14:paraId="7BB7E733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353722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lastRenderedPageBreak/>
              <w:t>Galvenās pētījuma tēmas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4453CA" w14:textId="77777777" w:rsidR="00012273" w:rsidRPr="00676CBD" w:rsidRDefault="00CD679D" w:rsidP="001C06A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color w:val="000000" w:themeColor="text1"/>
                <w:lang w:val="lv-LV"/>
              </w:rPr>
            </w:pPr>
            <w:r w:rsidRPr="00CD679D">
              <w:rPr>
                <w:color w:val="414142"/>
                <w:sz w:val="20"/>
                <w:szCs w:val="20"/>
                <w:lang w:val="lv-LV" w:eastAsia="lv-LV"/>
              </w:rPr>
              <w:t> </w:t>
            </w:r>
            <w:r w:rsidR="00012273" w:rsidRPr="00676CBD">
              <w:rPr>
                <w:color w:val="000000" w:themeColor="text1"/>
                <w:lang w:val="lv-LV"/>
              </w:rPr>
              <w:t xml:space="preserve">Ar veselības aprūpi saistīto infekciju (VASI) </w:t>
            </w:r>
            <w:proofErr w:type="spellStart"/>
            <w:r w:rsidR="00012273" w:rsidRPr="00676CBD">
              <w:rPr>
                <w:color w:val="000000" w:themeColor="text1"/>
                <w:lang w:val="lv-LV"/>
              </w:rPr>
              <w:t>prevalence</w:t>
            </w:r>
            <w:proofErr w:type="spellEnd"/>
            <w:r w:rsidR="00012273" w:rsidRPr="00676CBD">
              <w:rPr>
                <w:color w:val="000000" w:themeColor="text1"/>
                <w:lang w:val="lv-LV"/>
              </w:rPr>
              <w:t xml:space="preserve"> ilgstošas sociālās aprūpes iestādēs.</w:t>
            </w:r>
          </w:p>
          <w:p w14:paraId="4A4F2DB8" w14:textId="77777777" w:rsidR="00012273" w:rsidRPr="00676CBD" w:rsidRDefault="00012273" w:rsidP="001C06A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color w:val="000000" w:themeColor="text1"/>
                <w:lang w:val="lv-LV"/>
              </w:rPr>
            </w:pPr>
            <w:proofErr w:type="spellStart"/>
            <w:r w:rsidRPr="00676CBD">
              <w:rPr>
                <w:color w:val="000000" w:themeColor="text1"/>
                <w:lang w:val="lv-LV"/>
              </w:rPr>
              <w:t>Antimikrobiālo</w:t>
            </w:r>
            <w:proofErr w:type="spellEnd"/>
            <w:r w:rsidRPr="00676CBD">
              <w:rPr>
                <w:color w:val="000000" w:themeColor="text1"/>
                <w:lang w:val="lv-LV"/>
              </w:rPr>
              <w:t xml:space="preserve"> līdzekļu lietošanas prakse ilgstošas aprūpes iestādēs.</w:t>
            </w:r>
          </w:p>
          <w:p w14:paraId="748F93E8" w14:textId="77777777" w:rsidR="00676CBD" w:rsidRPr="00676CBD" w:rsidRDefault="00012273" w:rsidP="001C06A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color w:val="414142"/>
                <w:lang w:val="lv-LV" w:eastAsia="lv-LV"/>
              </w:rPr>
            </w:pPr>
            <w:r w:rsidRPr="00676CBD">
              <w:rPr>
                <w:color w:val="000000" w:themeColor="text1"/>
                <w:lang w:val="lv-LV"/>
              </w:rPr>
              <w:t xml:space="preserve">Infekciju profilakses un kontroles (IPK) pasākumu īstenošana ilgstošas sociālās aprūpes iestādēs </w:t>
            </w:r>
            <w:r w:rsidR="00676CBD" w:rsidRPr="00676CBD">
              <w:rPr>
                <w:color w:val="000000" w:themeColor="text1"/>
                <w:lang w:val="lv-LV"/>
              </w:rPr>
              <w:t>Latvijā</w:t>
            </w:r>
            <w:r w:rsidRPr="00676CBD">
              <w:rPr>
                <w:color w:val="000000" w:themeColor="text1"/>
                <w:lang w:val="lv-LV"/>
              </w:rPr>
              <w:t>.</w:t>
            </w:r>
          </w:p>
          <w:p w14:paraId="1C90D7EA" w14:textId="285C35FB" w:rsidR="00CD679D" w:rsidRPr="00CD679D" w:rsidRDefault="00012273" w:rsidP="001C06A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color w:val="414142"/>
                <w:sz w:val="20"/>
                <w:szCs w:val="20"/>
                <w:lang w:val="lv-LV" w:eastAsia="lv-LV"/>
              </w:rPr>
            </w:pPr>
            <w:r w:rsidRPr="00676CBD">
              <w:rPr>
                <w:color w:val="000000" w:themeColor="text1"/>
                <w:lang w:val="lv-LV"/>
              </w:rPr>
              <w:t>Antibiotiku pārvaldības un izglītojošo pasākumu efektivitāte ilgstošas aprūpes sektorā</w:t>
            </w:r>
          </w:p>
        </w:tc>
      </w:tr>
      <w:tr w:rsidR="00DC6775" w:rsidRPr="00AA7C8B" w14:paraId="3E489DC7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2D7C66" w14:textId="77777777" w:rsidR="00DC6775" w:rsidRPr="00CD679D" w:rsidRDefault="00DC6775" w:rsidP="00DC677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pasūtītājs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0A2C0C" w14:textId="57C295CE" w:rsidR="00DC6775" w:rsidRPr="00CD679D" w:rsidRDefault="00DC6775" w:rsidP="001C0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proofErr w:type="spellStart"/>
            <w:r w:rsidRPr="00DC6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Slimību</w:t>
            </w:r>
            <w:proofErr w:type="spellEnd"/>
            <w:r w:rsidRPr="00DC6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6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profilakses</w:t>
            </w:r>
            <w:proofErr w:type="spellEnd"/>
            <w:r w:rsidRPr="00DC6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DC6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kontroles</w:t>
            </w:r>
            <w:proofErr w:type="spellEnd"/>
            <w:r w:rsidRPr="00DC6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6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centrs</w:t>
            </w:r>
            <w:proofErr w:type="spellEnd"/>
          </w:p>
        </w:tc>
      </w:tr>
      <w:tr w:rsidR="00DC6775" w:rsidRPr="00AA7C8B" w14:paraId="1DC2C2A3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D9B7D5" w14:textId="77777777" w:rsidR="00DC6775" w:rsidRPr="00CD679D" w:rsidRDefault="00DC6775" w:rsidP="00DC677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īstenotājs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6E265D" w14:textId="34516C15" w:rsidR="00DC6775" w:rsidRPr="00CD679D" w:rsidRDefault="00DC6775" w:rsidP="001C06A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DC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Biedrība „Latvijas nieru un </w:t>
            </w:r>
            <w:proofErr w:type="spellStart"/>
            <w:r w:rsidRPr="00DC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multiorgānu</w:t>
            </w:r>
            <w:proofErr w:type="spellEnd"/>
            <w:r w:rsidRPr="00DC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DC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aizstājterapijas</w:t>
            </w:r>
            <w:proofErr w:type="spellEnd"/>
            <w:r w:rsidRPr="00DC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asociācija”</w:t>
            </w:r>
          </w:p>
        </w:tc>
      </w:tr>
      <w:tr w:rsidR="00CD679D" w:rsidRPr="00CD679D" w14:paraId="0DDC028D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B1B391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īstenošanas gads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429F09" w14:textId="4133BB62" w:rsidR="00CD679D" w:rsidRPr="00CD679D" w:rsidRDefault="00CD679D" w:rsidP="001C0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DC6775" w:rsidRPr="00DC67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2024.</w:t>
            </w:r>
            <w:r w:rsidR="00DC67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gads </w:t>
            </w:r>
            <w:r w:rsidR="00DC6775" w:rsidRPr="00DC67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-</w:t>
            </w:r>
            <w:r w:rsidR="00DC67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</w:t>
            </w:r>
            <w:r w:rsidR="00DC6775" w:rsidRPr="00DC67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2025.</w:t>
            </w:r>
            <w:r w:rsidR="00DC67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gads</w:t>
            </w:r>
          </w:p>
        </w:tc>
      </w:tr>
      <w:tr w:rsidR="00CD679D" w:rsidRPr="00AA7C8B" w14:paraId="404EEBCE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5A8C60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finansēšanas summa un finansēšanas avots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C81EB5" w14:textId="734F2B24" w:rsidR="00CD679D" w:rsidRPr="00CD679D" w:rsidRDefault="00CD679D" w:rsidP="001C06A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DC6775" w:rsidRPr="00443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218 335, 00 euro,</w:t>
            </w:r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Eiropas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Savienības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Atveseļošanas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noturības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mehānisma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plāna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4.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Komponentes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“Veselība”4.</w:t>
            </w:r>
            <w:proofErr w:type="gram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1.reformu</w:t>
            </w:r>
            <w:proofErr w:type="gram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investīciju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virziena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“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kvalitatīva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izmaksu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efektīvu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integrētu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veselības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aprūpes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pakalpojumu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pieejamība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veselības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aprūpes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sistēmas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gatavība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pakalpojumu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nodrošināšanai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epidemioloģiskajās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krīzēs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4.1.1.1.i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piešķirtie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finanšu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līdzekļi</w:t>
            </w:r>
            <w:proofErr w:type="spellEnd"/>
            <w:r w:rsidR="00DC6775" w:rsidRPr="00CD6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.</w:t>
            </w:r>
          </w:p>
        </w:tc>
      </w:tr>
      <w:tr w:rsidR="00CD679D" w:rsidRPr="00CD679D" w14:paraId="3A456A9F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B926D0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klasifikācija*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12BF66" w14:textId="7050F02E" w:rsidR="00CD679D" w:rsidRPr="00CD679D" w:rsidRDefault="00CD679D" w:rsidP="001C0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1532F7" w:rsidRPr="00153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Kompleksi analītiski pētījumi un </w:t>
            </w:r>
            <w:r w:rsidR="00153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to </w:t>
            </w:r>
            <w:r w:rsidR="001532F7" w:rsidRPr="00153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izstrāde</w:t>
            </w:r>
          </w:p>
        </w:tc>
      </w:tr>
      <w:tr w:rsidR="00CD679D" w:rsidRPr="00CD679D" w14:paraId="3160B744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1822F1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ģeogrāfiskais aptvērums</w:t>
            </w:r>
            <w:r w:rsidRPr="00CD679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br/>
              <w:t>(visa Latvija vai noteikts reģions/novads)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012E78" w14:textId="189A60C5" w:rsidR="00CD679D" w:rsidRPr="00CD679D" w:rsidRDefault="00CD679D" w:rsidP="003072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1532F7" w:rsidRPr="001C06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Visa Latvija</w:t>
            </w:r>
          </w:p>
        </w:tc>
      </w:tr>
      <w:tr w:rsidR="00CD679D" w:rsidRPr="00AA7C8B" w14:paraId="63DEF362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638757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mērķa grupa/-</w:t>
            </w:r>
            <w:proofErr w:type="spellStart"/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as</w:t>
            </w:r>
            <w:proofErr w:type="spellEnd"/>
            <w:r w:rsidRPr="00CD679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br/>
              <w:t>(piemēram, Latvijas iedzīvotāji darbspējas vecumā)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4BF411" w14:textId="529879C9" w:rsidR="00CD679D" w:rsidRPr="00CD679D" w:rsidRDefault="00CD679D" w:rsidP="003072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F828B8" w:rsidRPr="00F828B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Ilgstošas sociālās aprūpes iestā</w:t>
            </w:r>
            <w:r w:rsidR="00F828B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des un to</w:t>
            </w:r>
            <w:r w:rsidR="00F828B8" w:rsidRPr="00F828B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iemītnieki, kur</w:t>
            </w:r>
            <w:r w:rsidR="00E334D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i </w:t>
            </w:r>
            <w:r w:rsidR="004F598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pētījuma dienā </w:t>
            </w:r>
            <w:r w:rsidR="00443EEE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dzīvoja</w:t>
            </w:r>
            <w:r w:rsidR="004F598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iestādē</w:t>
            </w:r>
            <w:r w:rsidR="00F828B8" w:rsidRPr="00F828B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</w:tc>
      </w:tr>
      <w:tr w:rsidR="00CD679D" w:rsidRPr="00AA7C8B" w14:paraId="16A0F085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2BF42E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Pētījumā izmantotās metodes atbilstoši informācijas ieguves veidam: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437308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CD679D" w:rsidRPr="00AA7C8B" w14:paraId="7F761452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3737E666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768EA6DA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1) tiesību aktu vai politikas plānošanas dokumentu analīze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A3E431" w14:textId="3F50D51B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CD679D" w:rsidRPr="00CD679D" w14:paraId="02287D91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6FF69CE6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lastRenderedPageBreak/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62EE215C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2) statistikas datu analīze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829F5C" w14:textId="1B0C303F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CD679D" w:rsidRPr="00AA7C8B" w14:paraId="672CDC99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6665E1CA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6D93F27A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3) esošo pētījumu datu sekundārā analīze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CA18F8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CD679D" w:rsidRPr="00AA7C8B" w14:paraId="02C5B2B5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3F17D91C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10F0E6DC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4) padziļināto/ekspertu interviju veikšana un analīze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D537AE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CD679D" w:rsidRPr="00AA7C8B" w14:paraId="587F75E2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75656879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4E65D5EE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5) fokusa grupu diskusiju veikšana un analīze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CCF27D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CD679D" w:rsidRPr="00CD679D" w14:paraId="7814C8D2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2CDA3C17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4B4001CA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6) gadījumu izpēte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918E80" w14:textId="3DA3A6A5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 </w:t>
            </w:r>
            <w:r w:rsidR="008F55A0" w:rsidRPr="008F55A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x</w:t>
            </w:r>
          </w:p>
        </w:tc>
      </w:tr>
      <w:tr w:rsidR="00CD679D" w:rsidRPr="00CD679D" w14:paraId="365AA165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50691819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6ACE6201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7) kvantitatīvās aptaujas veikšana un datu analīze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92A1EC" w14:textId="7FBB1AAA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4F5980" w:rsidRPr="008F55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x</w:t>
            </w:r>
          </w:p>
        </w:tc>
      </w:tr>
      <w:tr w:rsidR="00CD679D" w:rsidRPr="00AA7C8B" w14:paraId="02118140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4DEE5E2E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4C9FF748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8) citas metodes (norādīt, kādas)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DE6690" w14:textId="2E896E23" w:rsidR="00CD679D" w:rsidRPr="00CD679D" w:rsidRDefault="00CD679D" w:rsidP="003072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8F55A0" w:rsidRPr="008F5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Punkta </w:t>
            </w:r>
            <w:proofErr w:type="spellStart"/>
            <w:r w:rsidR="008F55A0" w:rsidRPr="008F5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prevalences</w:t>
            </w:r>
            <w:proofErr w:type="spellEnd"/>
            <w:r w:rsidR="008F55A0" w:rsidRPr="008F5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pētījuma dizains saskaņā ar ECDC HALT projekta metodoloģiju.</w:t>
            </w:r>
          </w:p>
        </w:tc>
      </w:tr>
      <w:tr w:rsidR="00CD679D" w:rsidRPr="00AA7C8B" w14:paraId="11ED8528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982D0B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Kvantitatīvās pētījuma metodes</w:t>
            </w:r>
            <w:r w:rsidRPr="00CD679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br/>
              <w:t>(ja attiecināms):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04F311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CD679D" w:rsidRPr="00AA7C8B" w14:paraId="203B9AA9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601A08ED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61D54B2E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1) aptaujas izlases metode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EB4F12" w14:textId="556F1D9C" w:rsidR="00CD679D" w:rsidRPr="00EB5732" w:rsidRDefault="00CD679D" w:rsidP="003072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8160B4"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Nejauša</w:t>
            </w:r>
            <w:r w:rsidR="00C2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,</w:t>
            </w:r>
            <w:r w:rsidR="00527D8C"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stratificēta (pēc reģiona) </w:t>
            </w:r>
            <w:r w:rsidR="0003049B"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ilgstošas sociālās aprūpes iestāžu atlase</w:t>
            </w:r>
            <w:r w:rsidR="00330C2D"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. </w:t>
            </w:r>
          </w:p>
          <w:p w14:paraId="4F2DD88C" w14:textId="2FB640D1" w:rsidR="00B61BC0" w:rsidRPr="00B61BC0" w:rsidRDefault="00B61BC0" w:rsidP="00EB5732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lang w:val="lv-LV"/>
                <w14:ligatures w14:val="standardContextual"/>
              </w:rPr>
            </w:pPr>
            <w:r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Iemītnieki tika atlasīti</w:t>
            </w:r>
            <w:r w:rsidR="00A675EA"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dienā, kad pētījums tika veikts</w:t>
            </w:r>
            <w:r w:rsidR="00C2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atlasē iekļuvušajās</w:t>
            </w:r>
            <w:r w:rsidR="00A675EA"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iestādē</w:t>
            </w:r>
            <w:r w:rsidR="00ED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s</w:t>
            </w:r>
            <w:r w:rsidR="00A675EA"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.</w:t>
            </w:r>
            <w:r w:rsidR="00A675EA" w:rsidRPr="00EB5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 w:eastAsia="lv-LV"/>
              </w:rPr>
              <w:t xml:space="preserve"> </w:t>
            </w:r>
            <w:r w:rsidRPr="00EB5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 w:eastAsia="lv-LV"/>
              </w:rPr>
              <w:t xml:space="preserve"> </w:t>
            </w:r>
            <w:r w:rsidRPr="00B61BC0">
              <w:rPr>
                <w:rFonts w:ascii="Times New Roman" w:eastAsia="Calibri" w:hAnsi="Times New Roman" w:cs="Times New Roman"/>
                <w:kern w:val="2"/>
                <w:sz w:val="24"/>
                <w:lang w:val="lv-LV"/>
                <w14:ligatures w14:val="standardContextual"/>
              </w:rPr>
              <w:t xml:space="preserve">Šajā dienā potenciālajam pētījuma dalībniekam bija jāsaņem vismaz vienu sistēmisku </w:t>
            </w:r>
            <w:proofErr w:type="spellStart"/>
            <w:r w:rsidRPr="00B61BC0">
              <w:rPr>
                <w:rFonts w:ascii="Times New Roman" w:eastAsia="Calibri" w:hAnsi="Times New Roman" w:cs="Times New Roman"/>
                <w:kern w:val="2"/>
                <w:sz w:val="24"/>
                <w:lang w:val="lv-LV"/>
                <w14:ligatures w14:val="standardContextual"/>
              </w:rPr>
              <w:t>antimikrobiālu</w:t>
            </w:r>
            <w:proofErr w:type="spellEnd"/>
            <w:r w:rsidRPr="00B61BC0">
              <w:rPr>
                <w:rFonts w:ascii="Times New Roman" w:eastAsia="Calibri" w:hAnsi="Times New Roman" w:cs="Times New Roman"/>
                <w:kern w:val="2"/>
                <w:sz w:val="24"/>
                <w:lang w:val="lv-LV"/>
                <w14:ligatures w14:val="standardContextual"/>
              </w:rPr>
              <w:t xml:space="preserve"> līdzekli un /vai bija jābūt aktīvai, ar veselības aprūpi saistītai infekcijai</w:t>
            </w:r>
            <w:r w:rsidR="00EB5732">
              <w:rPr>
                <w:rFonts w:ascii="Times New Roman" w:eastAsia="Calibri" w:hAnsi="Times New Roman" w:cs="Times New Roman"/>
                <w:kern w:val="2"/>
                <w:sz w:val="24"/>
                <w:lang w:val="lv-LV"/>
                <w14:ligatures w14:val="standardContextual"/>
              </w:rPr>
              <w:t xml:space="preserve">. </w:t>
            </w:r>
          </w:p>
          <w:p w14:paraId="2CD94176" w14:textId="77777777" w:rsidR="00B61BC0" w:rsidRPr="00B61BC0" w:rsidRDefault="00B61BC0" w:rsidP="00EB573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B61B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v-LV"/>
                <w14:ligatures w14:val="standardContextual"/>
              </w:rPr>
              <w:t>Dalībnieku (iestādes iemītnieku) iekļaušanas kritēriji pētījumā:</w:t>
            </w:r>
          </w:p>
          <w:p w14:paraId="25B1141A" w14:textId="77777777" w:rsidR="00B61BC0" w:rsidRPr="00B61BC0" w:rsidRDefault="00B61BC0" w:rsidP="00EB5732">
            <w:pPr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B61B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v-LV"/>
                <w14:ligatures w14:val="standardContextual"/>
              </w:rPr>
              <w:t>uzturējās iestādē pastāvīgi (24 stundas diennaktī);</w:t>
            </w:r>
          </w:p>
          <w:p w14:paraId="155CE0D2" w14:textId="77777777" w:rsidR="00B61BC0" w:rsidRPr="00B61BC0" w:rsidRDefault="00B61BC0" w:rsidP="00EB5732">
            <w:pPr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lang w:val="lv-LV"/>
                <w14:ligatures w14:val="standardContextual"/>
              </w:rPr>
            </w:pPr>
            <w:r w:rsidRPr="00B61BC0">
              <w:rPr>
                <w:rFonts w:ascii="Times New Roman" w:eastAsia="Calibri" w:hAnsi="Times New Roman" w:cs="Times New Roman"/>
                <w:kern w:val="2"/>
                <w:sz w:val="24"/>
                <w:lang w:val="lv-LV"/>
                <w14:ligatures w14:val="standardContextual"/>
              </w:rPr>
              <w:t>pētījuma veikšanas dienā iemītnieks atradās iestādē kopš 8:00;</w:t>
            </w:r>
          </w:p>
          <w:p w14:paraId="272994AF" w14:textId="77777777" w:rsidR="00B61BC0" w:rsidRPr="00B61BC0" w:rsidRDefault="00B61BC0" w:rsidP="00EB5732">
            <w:pPr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B61B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v-LV"/>
                <w14:ligatures w14:val="standardContextual"/>
              </w:rPr>
              <w:t>pētījuma aptaujas laikā nebija izrakstīts no iestādes.</w:t>
            </w:r>
          </w:p>
          <w:p w14:paraId="4EB210CE" w14:textId="0139C07D" w:rsidR="00B61BC0" w:rsidRPr="00CD679D" w:rsidRDefault="00B61BC0" w:rsidP="00EB573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</w:p>
        </w:tc>
      </w:tr>
      <w:tr w:rsidR="00CD679D" w:rsidRPr="00AA7C8B" w14:paraId="3FD6677F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29A9077C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5490DB77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2) aptaujāto/anketēto respondentu/vienību skaits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A249A7" w14:textId="1ECFDB61" w:rsidR="00CD679D" w:rsidRDefault="00CD679D" w:rsidP="003072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 </w:t>
            </w:r>
            <w:r w:rsidR="008F55A0" w:rsidRPr="00EB5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35 ilgstošas sociālās aprūpes iestādes</w:t>
            </w:r>
            <w:r w:rsidR="00C45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Latvijā</w:t>
            </w:r>
          </w:p>
          <w:p w14:paraId="43BEACE6" w14:textId="340B423F" w:rsidR="00EB5732" w:rsidRPr="00EB5732" w:rsidRDefault="00053D5A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C45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Izvērtēta </w:t>
            </w:r>
            <w:r w:rsidR="00EB5732" w:rsidRPr="00C45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3851 iemītniek</w:t>
            </w:r>
            <w:r w:rsidR="00C45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 medicīniskā dokumentācija un aizpildītas 26 iemītnieku anketas.</w:t>
            </w:r>
          </w:p>
          <w:p w14:paraId="54403FA4" w14:textId="0856D650" w:rsidR="008160B4" w:rsidRPr="00CD679D" w:rsidRDefault="008160B4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</w:tr>
      <w:tr w:rsidR="00CD679D" w:rsidRPr="00AA7C8B" w14:paraId="4831E424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4D42B6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Kvalitatīvās pētījuma metodes</w:t>
            </w: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br/>
              <w:t>(ja attiecināms):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051635" w14:textId="248CC743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 </w:t>
            </w:r>
          </w:p>
        </w:tc>
      </w:tr>
      <w:tr w:rsidR="00CD679D" w:rsidRPr="00CD679D" w14:paraId="60B1D77F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3D0A20B4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lastRenderedPageBreak/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48957B3F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1) padziļināto/ekspertu interviju skaits (ja attiecināms)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A60245" w14:textId="47C5186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1C06AA" w:rsidRPr="00C45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NA</w:t>
            </w:r>
          </w:p>
        </w:tc>
      </w:tr>
      <w:tr w:rsidR="00CD679D" w:rsidRPr="00CD679D" w14:paraId="035E898A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21A51973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 </w:t>
            </w:r>
          </w:p>
        </w:tc>
        <w:tc>
          <w:tcPr>
            <w:tcW w:w="1585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55CE2359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lang w:val="lv-LV" w:eastAsia="lv-LV"/>
              </w:rPr>
              <w:t>2) fokusa grupu diskusiju skaits (ja attiecināms)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2EED9D" w14:textId="6F45F0B2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1C06AA" w:rsidRPr="00C45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NA</w:t>
            </w:r>
          </w:p>
        </w:tc>
      </w:tr>
      <w:tr w:rsidR="00CD679D" w:rsidRPr="00CD679D" w14:paraId="5B2A175A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CF1D04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Izmantotās analīzes grupas (griezumi)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AC911F" w14:textId="5474089F" w:rsidR="00C45A4E" w:rsidRPr="00C45A4E" w:rsidRDefault="00C45A4E" w:rsidP="003072B1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ind w:left="392" w:hanging="284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45A4E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pēc iestādes </w:t>
            </w:r>
            <w:r w:rsidR="00262C0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dibinātāja </w:t>
            </w:r>
            <w:r w:rsidRPr="00C45A4E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tipa;</w:t>
            </w:r>
          </w:p>
          <w:p w14:paraId="52C685A8" w14:textId="77777777" w:rsidR="00262C0A" w:rsidRPr="00262C0A" w:rsidRDefault="00C45A4E" w:rsidP="00262C0A">
            <w:pPr>
              <w:pStyle w:val="ListParagraph"/>
              <w:numPr>
                <w:ilvl w:val="0"/>
                <w:numId w:val="25"/>
              </w:numPr>
              <w:spacing w:before="195" w:after="0" w:line="240" w:lineRule="auto"/>
              <w:ind w:left="394" w:hanging="284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45A4E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pēc reģiona (Rīga, Vidzeme, Kurzeme, Zemgale, Latgale);</w:t>
            </w:r>
          </w:p>
          <w:p w14:paraId="55905316" w14:textId="77777777" w:rsidR="00262C0A" w:rsidRPr="00262C0A" w:rsidRDefault="00C45A4E" w:rsidP="00262C0A">
            <w:pPr>
              <w:pStyle w:val="ListParagraph"/>
              <w:numPr>
                <w:ilvl w:val="0"/>
                <w:numId w:val="25"/>
              </w:numPr>
              <w:spacing w:before="195" w:after="0" w:line="240" w:lineRule="auto"/>
              <w:ind w:left="394" w:hanging="284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45A4E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pēc infekcijas veida (urīnceļu, elpceļu, ādas u. c.);</w:t>
            </w:r>
          </w:p>
          <w:p w14:paraId="109910E7" w14:textId="027BABC9" w:rsidR="00CD679D" w:rsidRPr="00C45A4E" w:rsidRDefault="00C45A4E" w:rsidP="00262C0A">
            <w:pPr>
              <w:pStyle w:val="ListParagraph"/>
              <w:numPr>
                <w:ilvl w:val="0"/>
                <w:numId w:val="25"/>
              </w:numPr>
              <w:spacing w:before="195" w:after="0" w:line="240" w:lineRule="auto"/>
              <w:ind w:left="394" w:hanging="284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45A4E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pēc iemītnieku dzimuma.</w:t>
            </w:r>
          </w:p>
        </w:tc>
      </w:tr>
      <w:tr w:rsidR="00CD679D" w:rsidRPr="00AA7C8B" w14:paraId="1063CF7B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CEC2B1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pasūtītāja kontaktinformācija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0FE8D4" w14:textId="1832E35F" w:rsidR="00CD679D" w:rsidRPr="00CD679D" w:rsidRDefault="00CD679D" w:rsidP="003072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proofErr w:type="spell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Slimību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profilakses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kontroles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centrs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(SPKC)</w:t>
            </w:r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br/>
            </w:r>
            <w:proofErr w:type="spell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Duntes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iela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22, </w:t>
            </w:r>
            <w:proofErr w:type="spell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Rīga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, LV-1005</w:t>
            </w:r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br/>
              <w:t>E-</w:t>
            </w:r>
            <w:proofErr w:type="spellStart"/>
            <w:proofErr w:type="gram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pasts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="00A5338F" w:rsidRPr="001C06A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</w:t>
            </w:r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spkc@spkc.gov.lv</w:t>
            </w:r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br/>
            </w:r>
            <w:proofErr w:type="spellStart"/>
            <w:proofErr w:type="gramStart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Tālrunis</w:t>
            </w:r>
            <w:proofErr w:type="spell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="00A5338F" w:rsidRPr="001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="001C06AA" w:rsidRPr="001C06A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fr-FR"/>
                </w:rPr>
                <w:t> 67501590</w:t>
              </w:r>
            </w:hyperlink>
          </w:p>
        </w:tc>
      </w:tr>
      <w:tr w:rsidR="00CD679D" w:rsidRPr="00CD679D" w14:paraId="39FB169D" w14:textId="77777777" w:rsidTr="00DC6775">
        <w:tblPrEx>
          <w:jc w:val="lef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4" w:type="pct"/>
          <w:trHeight w:val="390"/>
        </w:trPr>
        <w:tc>
          <w:tcPr>
            <w:tcW w:w="18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1B5994" w14:textId="77777777" w:rsidR="00CD679D" w:rsidRPr="00CD679D" w:rsidRDefault="00CD679D" w:rsidP="00CD67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 w:eastAsia="lv-LV"/>
              </w:rPr>
              <w:t>Pētījuma autori** (autortiesību subjekti)</w:t>
            </w:r>
          </w:p>
        </w:tc>
        <w:tc>
          <w:tcPr>
            <w:tcW w:w="31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486FF0" w14:textId="3F86B483" w:rsidR="00CD679D" w:rsidRPr="00CD679D" w:rsidRDefault="00CD679D" w:rsidP="003072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</w:pPr>
            <w:r w:rsidRPr="00CD67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lv-LV"/>
              </w:rPr>
              <w:t> </w:t>
            </w:r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Jūlija </w:t>
            </w:r>
            <w:proofErr w:type="spellStart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Voicehovska</w:t>
            </w:r>
            <w:proofErr w:type="spellEnd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Ināra </w:t>
            </w:r>
            <w:proofErr w:type="spellStart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Bušmane</w:t>
            </w:r>
            <w:proofErr w:type="spellEnd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, Anda Grigāne,</w:t>
            </w:r>
            <w:r w:rsid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Eva Bormane, Svetlana </w:t>
            </w:r>
            <w:proofErr w:type="spellStart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Polnova</w:t>
            </w:r>
            <w:proofErr w:type="spellEnd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Baiba Adamaite, Karina </w:t>
            </w:r>
            <w:proofErr w:type="spellStart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Zukova</w:t>
            </w:r>
            <w:proofErr w:type="spellEnd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br/>
              <w:t xml:space="preserve">Biedrība „Latvijas nieru un </w:t>
            </w:r>
            <w:proofErr w:type="spellStart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multiorgānu</w:t>
            </w:r>
            <w:proofErr w:type="spellEnd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aizstājterapijas</w:t>
            </w:r>
            <w:proofErr w:type="spellEnd"/>
            <w:r w:rsidR="00A5338F" w:rsidRPr="00A5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asociācija”.</w:t>
            </w:r>
          </w:p>
        </w:tc>
      </w:tr>
    </w:tbl>
    <w:p w14:paraId="1F3762EF" w14:textId="77777777" w:rsidR="00515B3D" w:rsidRDefault="00515B3D" w:rsidP="001C06AA">
      <w:pPr>
        <w:pStyle w:val="Heading1"/>
        <w:spacing w:line="360" w:lineRule="auto"/>
        <w:jc w:val="center"/>
      </w:pPr>
    </w:p>
    <w:sectPr w:rsidR="00515B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54802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E358A"/>
    <w:multiLevelType w:val="hybridMultilevel"/>
    <w:tmpl w:val="7B7A989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A7481"/>
    <w:multiLevelType w:val="hybridMultilevel"/>
    <w:tmpl w:val="83780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B04F1"/>
    <w:multiLevelType w:val="multilevel"/>
    <w:tmpl w:val="87FA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B70D7F"/>
    <w:multiLevelType w:val="multilevel"/>
    <w:tmpl w:val="039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6789D"/>
    <w:multiLevelType w:val="hybridMultilevel"/>
    <w:tmpl w:val="C45CB3D8"/>
    <w:lvl w:ilvl="0" w:tplc="985C8D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F01FC"/>
    <w:multiLevelType w:val="hybridMultilevel"/>
    <w:tmpl w:val="87EAB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54C59"/>
    <w:multiLevelType w:val="hybridMultilevel"/>
    <w:tmpl w:val="82AA1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C6604"/>
    <w:multiLevelType w:val="hybridMultilevel"/>
    <w:tmpl w:val="FF2C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6F6"/>
    <w:multiLevelType w:val="hybridMultilevel"/>
    <w:tmpl w:val="7FF0BF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A5FB6"/>
    <w:multiLevelType w:val="hybridMultilevel"/>
    <w:tmpl w:val="22EE4530"/>
    <w:lvl w:ilvl="0" w:tplc="C0C280A0">
      <w:start w:val="3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8665A"/>
    <w:multiLevelType w:val="hybridMultilevel"/>
    <w:tmpl w:val="8AECFE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6D27B2F"/>
    <w:multiLevelType w:val="hybridMultilevel"/>
    <w:tmpl w:val="29A8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31F5D"/>
    <w:multiLevelType w:val="hybridMultilevel"/>
    <w:tmpl w:val="D19833C0"/>
    <w:lvl w:ilvl="0" w:tplc="042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704C768F"/>
    <w:multiLevelType w:val="hybridMultilevel"/>
    <w:tmpl w:val="39F0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72E8B"/>
    <w:multiLevelType w:val="hybridMultilevel"/>
    <w:tmpl w:val="32B0E49A"/>
    <w:lvl w:ilvl="0" w:tplc="FFFFFFFF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664913"/>
    <w:multiLevelType w:val="hybridMultilevel"/>
    <w:tmpl w:val="38822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10381">
    <w:abstractNumId w:val="8"/>
  </w:num>
  <w:num w:numId="2" w16cid:durableId="127479114">
    <w:abstractNumId w:val="6"/>
  </w:num>
  <w:num w:numId="3" w16cid:durableId="890770708">
    <w:abstractNumId w:val="5"/>
  </w:num>
  <w:num w:numId="4" w16cid:durableId="963076109">
    <w:abstractNumId w:val="4"/>
  </w:num>
  <w:num w:numId="5" w16cid:durableId="385908542">
    <w:abstractNumId w:val="7"/>
  </w:num>
  <w:num w:numId="6" w16cid:durableId="1261177793">
    <w:abstractNumId w:val="3"/>
  </w:num>
  <w:num w:numId="7" w16cid:durableId="1116557119">
    <w:abstractNumId w:val="2"/>
  </w:num>
  <w:num w:numId="8" w16cid:durableId="1838497390">
    <w:abstractNumId w:val="1"/>
  </w:num>
  <w:num w:numId="9" w16cid:durableId="128548265">
    <w:abstractNumId w:val="0"/>
  </w:num>
  <w:num w:numId="10" w16cid:durableId="983395100">
    <w:abstractNumId w:val="11"/>
  </w:num>
  <w:num w:numId="11" w16cid:durableId="1359890500">
    <w:abstractNumId w:val="24"/>
  </w:num>
  <w:num w:numId="12" w16cid:durableId="324939058">
    <w:abstractNumId w:val="14"/>
  </w:num>
  <w:num w:numId="13" w16cid:durableId="1746216945">
    <w:abstractNumId w:val="20"/>
  </w:num>
  <w:num w:numId="14" w16cid:durableId="2086561753">
    <w:abstractNumId w:val="22"/>
  </w:num>
  <w:num w:numId="15" w16cid:durableId="319626771">
    <w:abstractNumId w:val="16"/>
  </w:num>
  <w:num w:numId="16" w16cid:durableId="173543737">
    <w:abstractNumId w:val="19"/>
  </w:num>
  <w:num w:numId="17" w16cid:durableId="1437560182">
    <w:abstractNumId w:val="23"/>
  </w:num>
  <w:num w:numId="18" w16cid:durableId="463694993">
    <w:abstractNumId w:val="9"/>
  </w:num>
  <w:num w:numId="19" w16cid:durableId="1988198314">
    <w:abstractNumId w:val="15"/>
  </w:num>
  <w:num w:numId="20" w16cid:durableId="88047075">
    <w:abstractNumId w:val="17"/>
  </w:num>
  <w:num w:numId="21" w16cid:durableId="385956739">
    <w:abstractNumId w:val="13"/>
  </w:num>
  <w:num w:numId="22" w16cid:durableId="857810952">
    <w:abstractNumId w:val="10"/>
  </w:num>
  <w:num w:numId="23" w16cid:durableId="873883974">
    <w:abstractNumId w:val="18"/>
  </w:num>
  <w:num w:numId="24" w16cid:durableId="683820159">
    <w:abstractNumId w:val="12"/>
  </w:num>
  <w:num w:numId="25" w16cid:durableId="14720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73"/>
    <w:rsid w:val="0003049B"/>
    <w:rsid w:val="00034616"/>
    <w:rsid w:val="00053D5A"/>
    <w:rsid w:val="0006063C"/>
    <w:rsid w:val="000C5767"/>
    <w:rsid w:val="0015074B"/>
    <w:rsid w:val="001532F7"/>
    <w:rsid w:val="001757E7"/>
    <w:rsid w:val="001918D7"/>
    <w:rsid w:val="001C06AA"/>
    <w:rsid w:val="00262C0A"/>
    <w:rsid w:val="0029639D"/>
    <w:rsid w:val="002E32FC"/>
    <w:rsid w:val="002F58B1"/>
    <w:rsid w:val="003072B1"/>
    <w:rsid w:val="00326F90"/>
    <w:rsid w:val="00330C2D"/>
    <w:rsid w:val="003761B0"/>
    <w:rsid w:val="0039188E"/>
    <w:rsid w:val="00443EEE"/>
    <w:rsid w:val="004803C9"/>
    <w:rsid w:val="004E00D0"/>
    <w:rsid w:val="004F5980"/>
    <w:rsid w:val="00515B3D"/>
    <w:rsid w:val="00527D8C"/>
    <w:rsid w:val="005E26D6"/>
    <w:rsid w:val="00676CBD"/>
    <w:rsid w:val="00794385"/>
    <w:rsid w:val="008160B4"/>
    <w:rsid w:val="008F55A0"/>
    <w:rsid w:val="00A11055"/>
    <w:rsid w:val="00A5338F"/>
    <w:rsid w:val="00A675EA"/>
    <w:rsid w:val="00A7667B"/>
    <w:rsid w:val="00AA1D8D"/>
    <w:rsid w:val="00AA7C8B"/>
    <w:rsid w:val="00AC653F"/>
    <w:rsid w:val="00AF001F"/>
    <w:rsid w:val="00B36C9D"/>
    <w:rsid w:val="00B47730"/>
    <w:rsid w:val="00B61BC0"/>
    <w:rsid w:val="00C27CAF"/>
    <w:rsid w:val="00C45A4E"/>
    <w:rsid w:val="00CB0664"/>
    <w:rsid w:val="00CD679D"/>
    <w:rsid w:val="00D13DE6"/>
    <w:rsid w:val="00DB3454"/>
    <w:rsid w:val="00DC6775"/>
    <w:rsid w:val="00E334D0"/>
    <w:rsid w:val="00EB5732"/>
    <w:rsid w:val="00ED2FF3"/>
    <w:rsid w:val="00ED4435"/>
    <w:rsid w:val="00F828B8"/>
    <w:rsid w:val="00F840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FC684"/>
  <w14:defaultImageDpi w14:val="300"/>
  <w15:docId w15:val="{A5954449-4407-4B45-85FC-6C990C75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E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E26D6"/>
  </w:style>
  <w:style w:type="character" w:styleId="Hyperlink">
    <w:name w:val="Hyperlink"/>
    <w:basedOn w:val="DefaultParagraphFont"/>
    <w:uiPriority w:val="99"/>
    <w:semiHidden/>
    <w:unhideWhenUsed/>
    <w:rsid w:val="001C0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371%20675015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335130-grozijumi-ministru-kabineta-2013-gada-3-janvara-noteikumos-nr-1-kartiba-kada-publiska-persona-pasuta-petijumus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AB7F1E-3030-4F79-9139-0097595E5F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3624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Biruta Velika</cp:lastModifiedBy>
  <cp:revision>2</cp:revision>
  <dcterms:created xsi:type="dcterms:W3CDTF">2026-01-13T10:32:00Z</dcterms:created>
  <dcterms:modified xsi:type="dcterms:W3CDTF">2026-01-13T10:32:00Z</dcterms:modified>
  <cp:category/>
</cp:coreProperties>
</file>