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25FB" w14:textId="5CA9BF01" w:rsidR="0072134A" w:rsidRDefault="00CD5B6B">
      <w:r w:rsidRPr="00C52DAE">
        <w:rPr>
          <w:b/>
          <w:caps/>
          <w:noProof/>
        </w:rPr>
        <w:drawing>
          <wp:anchor distT="0" distB="0" distL="114300" distR="114300" simplePos="0" relativeHeight="251659264" behindDoc="0" locked="0" layoutInCell="1" allowOverlap="1" wp14:anchorId="44738272" wp14:editId="70C4374F">
            <wp:simplePos x="0" y="0"/>
            <wp:positionH relativeFrom="margin">
              <wp:align>center</wp:align>
            </wp:positionH>
            <wp:positionV relativeFrom="paragraph">
              <wp:posOffset>46144</wp:posOffset>
            </wp:positionV>
            <wp:extent cx="4632960" cy="878840"/>
            <wp:effectExtent l="0" t="0" r="0" b="0"/>
            <wp:wrapTopAndBottom/>
            <wp:docPr id="581614399" name="Picture 1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60528" name="Picture 1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96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7C0A1" w14:textId="4201DDE0" w:rsidR="0072134A" w:rsidRDefault="0072134A"/>
    <w:tbl>
      <w:tblPr>
        <w:tblW w:w="6663" w:type="dxa"/>
        <w:jc w:val="center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11"/>
        <w:gridCol w:w="4052"/>
      </w:tblGrid>
      <w:tr w:rsidR="004C5D2E" w:rsidRPr="0004497B" w14:paraId="1B008125" w14:textId="77777777" w:rsidTr="000F60A2">
        <w:trPr>
          <w:jc w:val="center"/>
        </w:trPr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EA9389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Anotācija pētījumam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22AB221" w14:textId="45F32CB5" w:rsidR="004C5D2E" w:rsidRPr="004C5D2E" w:rsidRDefault="004C5D2E" w:rsidP="004C5D2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0F60A2" w:rsidRPr="00EB73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lv-LV"/>
              </w:rPr>
              <w:t>Vakcinācijas kavējošo iemeslu prevalences pētījums Latvijā</w:t>
            </w:r>
          </w:p>
        </w:tc>
      </w:tr>
      <w:tr w:rsidR="004C5D2E" w:rsidRPr="0004497B" w14:paraId="38FC775C" w14:textId="77777777" w:rsidTr="000F60A2">
        <w:trPr>
          <w:jc w:val="center"/>
        </w:trPr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672428" w14:textId="77777777" w:rsidR="004C5D2E" w:rsidRPr="004C5D2E" w:rsidRDefault="004C5D2E" w:rsidP="004C5D2E">
            <w:pPr>
              <w:rPr>
                <w:lang w:val="lv-LV"/>
              </w:rPr>
            </w:pPr>
            <w:r w:rsidRPr="004C5D2E">
              <w:rPr>
                <w:lang w:val="lv-LV"/>
              </w:rPr>
              <w:t> </w:t>
            </w:r>
          </w:p>
        </w:tc>
        <w:tc>
          <w:tcPr>
            <w:tcW w:w="3041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8E309D0" w14:textId="2B4A777C" w:rsidR="004C5D2E" w:rsidRPr="004C5D2E" w:rsidRDefault="004C5D2E" w:rsidP="004C5D2E">
            <w:pPr>
              <w:rPr>
                <w:lang w:val="lv-LV"/>
              </w:rPr>
            </w:pPr>
          </w:p>
        </w:tc>
      </w:tr>
    </w:tbl>
    <w:p w14:paraId="487BD592" w14:textId="77777777" w:rsidR="004C5D2E" w:rsidRPr="004C5D2E" w:rsidRDefault="004C5D2E" w:rsidP="004C5D2E">
      <w:pPr>
        <w:rPr>
          <w:lang w:val="lv-LV"/>
        </w:rPr>
      </w:pPr>
      <w:r w:rsidRPr="004C5D2E">
        <w:rPr>
          <w:lang w:val="lv-LV"/>
        </w:rPr>
        <w:t> </w:t>
      </w:r>
    </w:p>
    <w:p w14:paraId="51BD1103" w14:textId="77777777" w:rsidR="004C5D2E" w:rsidRPr="004C5D2E" w:rsidRDefault="004C5D2E" w:rsidP="004C5D2E">
      <w:pPr>
        <w:rPr>
          <w:lang w:val="lv-LV"/>
        </w:rPr>
      </w:pPr>
      <w:r w:rsidRPr="004C5D2E">
        <w:rPr>
          <w:lang w:val="lv-LV"/>
        </w:rPr>
        <w:t> </w:t>
      </w:r>
    </w:p>
    <w:p w14:paraId="5D428B29" w14:textId="77777777" w:rsidR="004C5D2E" w:rsidRPr="004C5D2E" w:rsidRDefault="004C5D2E" w:rsidP="004C5D2E">
      <w:pPr>
        <w:rPr>
          <w:lang w:val="lv-LV"/>
        </w:rPr>
      </w:pPr>
      <w:r w:rsidRPr="004C5D2E">
        <w:rPr>
          <w:lang w:val="lv-LV"/>
        </w:rPr>
        <w:t> </w:t>
      </w:r>
    </w:p>
    <w:tbl>
      <w:tblPr>
        <w:tblW w:w="9773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9"/>
        <w:gridCol w:w="3960"/>
        <w:gridCol w:w="5274"/>
      </w:tblGrid>
      <w:tr w:rsidR="004C5D2E" w:rsidRPr="00805C61" w14:paraId="5F15BAD2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E19363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</w:p>
          <w:p w14:paraId="54E02198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mērķis, uzdevumi un galvenie rezultāti latviešu valodā</w:t>
            </w:r>
            <w:r w:rsidRPr="004C5D2E">
              <w:rPr>
                <w:rFonts w:ascii="Times New Roman" w:hAnsi="Times New Roman" w:cs="Times New Roman"/>
                <w:lang w:val="lv-LV"/>
              </w:rPr>
              <w:t> (brīvā tekstā, aptuveni 150 vārdu)</w:t>
            </w:r>
          </w:p>
          <w:p w14:paraId="35759BE3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A3E57F" w14:textId="280E71AF" w:rsidR="00A512CF" w:rsidRPr="00681275" w:rsidRDefault="004C5D2E" w:rsidP="00A512CF">
            <w:pPr>
              <w:spacing w:before="240" w:line="360" w:lineRule="auto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A512CF" w:rsidRPr="00681275">
              <w:rPr>
                <w:rFonts w:ascii="Times New Roman" w:hAnsi="Times New Roman" w:cs="Times New Roman"/>
                <w:b/>
                <w:bCs/>
                <w:lang w:val="lv-LV"/>
              </w:rPr>
              <w:t>Pētījuma mērķis:</w:t>
            </w:r>
            <w:r w:rsidR="00A512CF" w:rsidRPr="006D7B05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A512CF" w:rsidRPr="00681275">
              <w:rPr>
                <w:rFonts w:ascii="Times New Roman" w:hAnsi="Times New Roman" w:cs="Times New Roman"/>
                <w:bCs/>
                <w:lang w:val="lv-LV"/>
              </w:rPr>
              <w:t>Identificēt vakcināciju kavējošus iemeslus bērniem vecumā no 0 mēnešiem līdz  18 gadu vecumam, kā arī bērnu vecāku vai t</w:t>
            </w:r>
            <w:r w:rsidR="008245C9" w:rsidRPr="00681275">
              <w:rPr>
                <w:rFonts w:ascii="Times New Roman" w:hAnsi="Times New Roman" w:cs="Times New Roman"/>
                <w:bCs/>
                <w:lang w:val="lv-LV"/>
              </w:rPr>
              <w:t>o</w:t>
            </w:r>
            <w:r w:rsidR="00A512CF" w:rsidRPr="00681275">
              <w:rPr>
                <w:rFonts w:ascii="Times New Roman" w:hAnsi="Times New Roman" w:cs="Times New Roman"/>
                <w:bCs/>
                <w:lang w:val="lv-LV"/>
              </w:rPr>
              <w:t xml:space="preserve"> likumisk</w:t>
            </w:r>
            <w:r w:rsidR="008245C9" w:rsidRPr="00681275">
              <w:rPr>
                <w:rFonts w:ascii="Times New Roman" w:hAnsi="Times New Roman" w:cs="Times New Roman"/>
                <w:bCs/>
                <w:lang w:val="lv-LV"/>
              </w:rPr>
              <w:t>o</w:t>
            </w:r>
            <w:r w:rsidR="00A512CF" w:rsidRPr="00681275">
              <w:rPr>
                <w:rFonts w:ascii="Times New Roman" w:hAnsi="Times New Roman" w:cs="Times New Roman"/>
                <w:bCs/>
                <w:lang w:val="lv-LV"/>
              </w:rPr>
              <w:t xml:space="preserve"> pārstāvj</w:t>
            </w:r>
            <w:r w:rsidR="008245C9" w:rsidRPr="00681275">
              <w:rPr>
                <w:rFonts w:ascii="Times New Roman" w:hAnsi="Times New Roman" w:cs="Times New Roman"/>
                <w:bCs/>
                <w:lang w:val="lv-LV"/>
              </w:rPr>
              <w:t>u</w:t>
            </w:r>
            <w:r w:rsidR="00A512CF" w:rsidRPr="00681275">
              <w:rPr>
                <w:rFonts w:ascii="Times New Roman" w:hAnsi="Times New Roman" w:cs="Times New Roman"/>
                <w:bCs/>
                <w:lang w:val="lv-LV"/>
              </w:rPr>
              <w:t xml:space="preserve"> un primārās veselības aprūpes speciālistu zināšanām un attieksmi pret vakcināciju, un iegūt datus par imunizācijas pakalpojumu sniegšanas organizāciju veselības aprūpes iestādēs.</w:t>
            </w:r>
          </w:p>
          <w:p w14:paraId="2823B584" w14:textId="77777777" w:rsidR="00520034" w:rsidRPr="00681275" w:rsidRDefault="00247456" w:rsidP="00247456">
            <w:pPr>
              <w:spacing w:after="0" w:line="360" w:lineRule="auto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b/>
                <w:bCs/>
                <w:lang w:val="lv-LV"/>
              </w:rPr>
              <w:t>Galvenei rezultāti:</w:t>
            </w:r>
            <w:r w:rsidRPr="00681275">
              <w:rPr>
                <w:rFonts w:asciiTheme="majorBidi" w:hAnsiTheme="majorBidi" w:cstheme="majorBidi"/>
                <w:lang w:val="lv-LV"/>
              </w:rPr>
              <w:t xml:space="preserve"> </w:t>
            </w:r>
          </w:p>
          <w:p w14:paraId="7E169D39" w14:textId="482672AA" w:rsidR="00247456" w:rsidRPr="00681275" w:rsidRDefault="00410B02" w:rsidP="00520034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8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lang w:val="lv-LV"/>
              </w:rPr>
              <w:t>Vecāki norāda ārstniecības personālu kā galveno informācijas avotu (94,6%)</w:t>
            </w:r>
            <w:r w:rsidR="00C51ED2" w:rsidRPr="00681275">
              <w:rPr>
                <w:rFonts w:asciiTheme="majorBidi" w:hAnsiTheme="majorBidi" w:cstheme="majorBidi"/>
                <w:lang w:val="lv-LV"/>
              </w:rPr>
              <w:t xml:space="preserve">; </w:t>
            </w:r>
          </w:p>
          <w:p w14:paraId="583A1133" w14:textId="0609D01C" w:rsidR="00410B02" w:rsidRPr="00681275" w:rsidRDefault="00410B02" w:rsidP="00520034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8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lang w:val="lv-LV"/>
              </w:rPr>
              <w:t>Gandrīz visi vecāki zina par bērnu vakcinācijas kalendāra esamību (96,7%</w:t>
            </w:r>
            <w:r w:rsidR="00520034" w:rsidRPr="00681275">
              <w:rPr>
                <w:rFonts w:asciiTheme="majorBidi" w:hAnsiTheme="majorBidi" w:cstheme="majorBidi"/>
                <w:lang w:val="lv-LV"/>
              </w:rPr>
              <w:t>)</w:t>
            </w:r>
            <w:r w:rsidR="00C51ED2" w:rsidRPr="00681275">
              <w:rPr>
                <w:rFonts w:asciiTheme="majorBidi" w:hAnsiTheme="majorBidi" w:cstheme="majorBidi"/>
                <w:lang w:val="lv-LV"/>
              </w:rPr>
              <w:t>;</w:t>
            </w:r>
          </w:p>
          <w:p w14:paraId="0B55819D" w14:textId="41816850" w:rsidR="00541E8B" w:rsidRPr="00681275" w:rsidRDefault="00410B02" w:rsidP="00541E8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8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lang w:val="lv-LV"/>
              </w:rPr>
              <w:t xml:space="preserve">Personiskie iemesli (25,0% - 42,0%) un bērna veselības stāvoklis (25,0% - 42,0%) tika minēti ka galvenie vakcināciju kavējoši iemesli. Papildus, 33,3% katrā bērnu vecuma grupā atzīmēja </w:t>
            </w:r>
            <w:r w:rsidRPr="00681275">
              <w:rPr>
                <w:rFonts w:asciiTheme="majorBidi" w:hAnsiTheme="majorBidi" w:cstheme="majorBidi"/>
                <w:lang w:val="lv-LV"/>
              </w:rPr>
              <w:lastRenderedPageBreak/>
              <w:t>ideoloģiskus pamatus k</w:t>
            </w:r>
            <w:r w:rsidRPr="006D7B05">
              <w:rPr>
                <w:rFonts w:asciiTheme="majorBidi" w:hAnsiTheme="majorBidi" w:cstheme="majorBidi"/>
                <w:lang w:val="lv-LV"/>
              </w:rPr>
              <w:t>ā</w:t>
            </w:r>
            <w:r w:rsidRPr="00681275">
              <w:rPr>
                <w:rFonts w:asciiTheme="majorBidi" w:hAnsiTheme="majorBidi" w:cstheme="majorBidi"/>
                <w:lang w:val="lv-LV"/>
              </w:rPr>
              <w:t xml:space="preserve"> vakcinācijas šķērsli jeb kavējošu iemeslu. </w:t>
            </w:r>
          </w:p>
          <w:p w14:paraId="765F0DA3" w14:textId="6AED6492" w:rsidR="00C8113E" w:rsidRPr="00681275" w:rsidRDefault="00410B02" w:rsidP="00541E8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8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>Ārstniecības person</w:t>
            </w:r>
            <w:r w:rsidR="006D7B05">
              <w:rPr>
                <w:rFonts w:asciiTheme="majorBidi" w:hAnsiTheme="majorBidi" w:cstheme="majorBidi"/>
                <w:color w:val="000000" w:themeColor="text1"/>
                <w:lang w:val="lv-LV"/>
              </w:rPr>
              <w:t>u</w:t>
            </w: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 grupā lielākā daļa respondentu (86,3 %) ir piedalījušies profesionālās pilnveides pasākumos par vakcināciju un gandrīz puse no tiem (49,1 %) par šo tēmu ir mācījušies pēdējā gada laikā. </w:t>
            </w:r>
          </w:p>
          <w:p w14:paraId="6138CE86" w14:textId="77777777" w:rsidR="00794D35" w:rsidRPr="00681275" w:rsidRDefault="00794D35" w:rsidP="00541E8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288"/>
              <w:jc w:val="both"/>
              <w:rPr>
                <w:rFonts w:asciiTheme="majorBidi" w:hAnsiTheme="majorBidi" w:cstheme="majorBidi"/>
                <w:lang w:val="lv-LV"/>
              </w:rPr>
            </w:pP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Zināšanu pārbaudes jautājumos </w:t>
            </w:r>
            <w:r w:rsidR="00410B02"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>konstatētas statistiski nozīmīgas atšķirības starp profesiju grupām apmierinātīb</w:t>
            </w: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>u</w:t>
            </w:r>
            <w:r w:rsidR="00410B02"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 ar savām zināšanām par vakcināciju</w:t>
            </w: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, </w:t>
            </w:r>
            <w:r w:rsidR="00410B02"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un viszemākā apmierinātība novērota ārstu palīgu grupā. </w:t>
            </w:r>
          </w:p>
          <w:p w14:paraId="61B17DBF" w14:textId="1523E451" w:rsidR="009E48B8" w:rsidRPr="00681275" w:rsidRDefault="00410B02" w:rsidP="00410B02">
            <w:pPr>
              <w:pStyle w:val="ListParagraph"/>
              <w:numPr>
                <w:ilvl w:val="0"/>
                <w:numId w:val="4"/>
              </w:numPr>
              <w:spacing w:before="240" w:after="0" w:line="360" w:lineRule="auto"/>
              <w:ind w:left="288"/>
              <w:jc w:val="both"/>
              <w:rPr>
                <w:rFonts w:ascii="Times New Roman" w:hAnsi="Times New Roman" w:cs="Times New Roman"/>
                <w:lang w:val="lv-LV"/>
              </w:rPr>
            </w:pP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>99,8 %</w:t>
            </w:r>
            <w:r w:rsidR="00681275"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 ārstniecības person</w:t>
            </w:r>
            <w:r w:rsidR="006D7B05">
              <w:rPr>
                <w:rFonts w:asciiTheme="majorBidi" w:hAnsiTheme="majorBidi" w:cstheme="majorBidi"/>
                <w:color w:val="000000" w:themeColor="text1"/>
                <w:lang w:val="lv-LV"/>
              </w:rPr>
              <w:t>u</w:t>
            </w: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 uzskata, ka vakcīnas ir drošas un ka vakcinācija pret bērnu infekcijas slimībām ir būtiska. </w:t>
            </w:r>
          </w:p>
          <w:p w14:paraId="2F5D65C5" w14:textId="7215E899" w:rsidR="008245C9" w:rsidRPr="00681275" w:rsidRDefault="00410B02" w:rsidP="00410B02">
            <w:pPr>
              <w:pStyle w:val="ListParagraph"/>
              <w:numPr>
                <w:ilvl w:val="0"/>
                <w:numId w:val="4"/>
              </w:numPr>
              <w:spacing w:before="240" w:after="0" w:line="360" w:lineRule="auto"/>
              <w:ind w:left="288"/>
              <w:jc w:val="both"/>
              <w:rPr>
                <w:rFonts w:ascii="Times New Roman" w:hAnsi="Times New Roman" w:cs="Times New Roman"/>
                <w:lang w:val="lv-LV"/>
              </w:rPr>
            </w:pP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Pretēji bērnu vecāku viedoklim, </w:t>
            </w:r>
            <w:r w:rsidR="00681275"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>ārstniecības personas</w:t>
            </w:r>
            <w:r w:rsidRPr="00681275">
              <w:rPr>
                <w:rFonts w:asciiTheme="majorBidi" w:hAnsiTheme="majorBidi" w:cstheme="majorBidi"/>
                <w:color w:val="000000" w:themeColor="text1"/>
                <w:lang w:val="lv-LV"/>
              </w:rPr>
              <w:t xml:space="preserve"> uzskata, ka galvenais bērnu nevakcinēšanas iemesls ir vecāku negatīvā attieksme pret vakcināciju (74,7 %).</w:t>
            </w:r>
          </w:p>
          <w:p w14:paraId="7BEA1ADE" w14:textId="54A808B6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C5D2E" w:rsidRPr="00981879" w14:paraId="44EEB89B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ACF403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Galvenās pētījuma tēmas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7C9ED9" w14:textId="29CCE29B" w:rsidR="003C6DE9" w:rsidRPr="00955381" w:rsidRDefault="004C5D2E" w:rsidP="003C6DE9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138"/>
              <w:jc w:val="both"/>
              <w:rPr>
                <w:rFonts w:asciiTheme="majorBidi" w:hAnsiTheme="majorBidi" w:cstheme="majorBidi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3C6DE9" w:rsidRPr="00955381">
              <w:rPr>
                <w:rFonts w:asciiTheme="majorBidi" w:hAnsiTheme="majorBidi" w:cstheme="majorBidi"/>
                <w:lang w:val="lv-LV"/>
              </w:rPr>
              <w:t>Noskaidrot vakcināciju kavējošus iemeslus mērķa grupā</w:t>
            </w:r>
            <w:r w:rsidR="0072134A">
              <w:rPr>
                <w:rFonts w:asciiTheme="majorBidi" w:hAnsiTheme="majorBidi" w:cstheme="majorBidi"/>
                <w:lang w:val="lv-LV"/>
              </w:rPr>
              <w:t>s</w:t>
            </w:r>
          </w:p>
          <w:p w14:paraId="31E6E02C" w14:textId="238E0087" w:rsidR="003C6DE9" w:rsidRPr="00955381" w:rsidRDefault="003C6DE9" w:rsidP="003C6DE9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138"/>
              <w:jc w:val="both"/>
              <w:rPr>
                <w:rFonts w:asciiTheme="majorBidi" w:hAnsiTheme="majorBidi" w:cstheme="majorBidi"/>
                <w:lang w:val="lv-LV"/>
              </w:rPr>
            </w:pPr>
            <w:r w:rsidRPr="00955381">
              <w:rPr>
                <w:rFonts w:asciiTheme="majorBidi" w:hAnsiTheme="majorBidi" w:cstheme="majorBidi"/>
                <w:lang w:val="lv-LV"/>
              </w:rPr>
              <w:t>Noskaidrot bērnu vecāku vai t</w:t>
            </w:r>
            <w:r w:rsidR="006D7B05">
              <w:rPr>
                <w:rFonts w:asciiTheme="majorBidi" w:hAnsiTheme="majorBidi" w:cstheme="majorBidi"/>
                <w:lang w:val="lv-LV"/>
              </w:rPr>
              <w:t>o</w:t>
            </w:r>
            <w:r w:rsidRPr="00955381">
              <w:rPr>
                <w:rFonts w:asciiTheme="majorBidi" w:hAnsiTheme="majorBidi" w:cstheme="majorBidi"/>
                <w:lang w:val="lv-LV"/>
              </w:rPr>
              <w:t xml:space="preserve"> likumisko pārstāvju (piem., aizbildņu vai trešo personu, kuru pilnvarojuši nepilngadīgā/-o bērna/-u vecāki vai aizbildņi u.c.), un primārās veselības aprūpes speciālistu zināšanas un attieksmi pret vakcināciju.</w:t>
            </w:r>
          </w:p>
          <w:p w14:paraId="0132BCD9" w14:textId="77777777" w:rsidR="003C6DE9" w:rsidRPr="00955381" w:rsidRDefault="003C6DE9" w:rsidP="003C6DE9">
            <w:pPr>
              <w:pStyle w:val="ListParagraph"/>
              <w:numPr>
                <w:ilvl w:val="0"/>
                <w:numId w:val="5"/>
              </w:numPr>
              <w:spacing w:before="120" w:after="0" w:line="360" w:lineRule="auto"/>
              <w:ind w:right="138"/>
              <w:jc w:val="both"/>
              <w:rPr>
                <w:rFonts w:asciiTheme="majorBidi" w:hAnsiTheme="majorBidi" w:cstheme="majorBidi"/>
                <w:lang w:val="lv-LV"/>
              </w:rPr>
            </w:pPr>
            <w:r w:rsidRPr="00955381">
              <w:rPr>
                <w:rFonts w:asciiTheme="majorBidi" w:hAnsiTheme="majorBidi" w:cstheme="majorBidi"/>
                <w:lang w:val="lv-LV"/>
              </w:rPr>
              <w:t xml:space="preserve">Iegūt datus par imunizācijas pakalpojumu organizēšanas kārtību </w:t>
            </w:r>
            <w:r w:rsidRPr="00955381">
              <w:rPr>
                <w:rFonts w:asciiTheme="majorBidi" w:hAnsiTheme="majorBidi" w:cstheme="majorBidi"/>
                <w:lang w:val="lv-LV"/>
              </w:rPr>
              <w:lastRenderedPageBreak/>
              <w:t>(t.sk., pieejamību) veselības aprūpes iestādēs saistībā ar vakcinācijas kalendārā esošajām vakcīnām un vakcīnu pret Covid-19 infekciju.</w:t>
            </w:r>
          </w:p>
          <w:p w14:paraId="0919FC3F" w14:textId="1283818A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C5D2E" w:rsidRPr="0004497B" w14:paraId="4C10CBB8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2CE33C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Pētījuma pasūtītājs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162EDD" w14:textId="4083841A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0F60A2" w:rsidRPr="00EB73C1">
              <w:rPr>
                <w:rFonts w:ascii="Times New Roman" w:hAnsi="Times New Roman" w:cs="Times New Roman"/>
                <w:lang w:val="lv-LV"/>
              </w:rPr>
              <w:t xml:space="preserve">Veselības ministrija un Slimību profilakses un kontroles centrs </w:t>
            </w:r>
          </w:p>
        </w:tc>
      </w:tr>
      <w:tr w:rsidR="004C5D2E" w:rsidRPr="004C5D2E" w14:paraId="52363619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64405D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īstenotājs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06068E" w14:textId="754699CF" w:rsidR="004C5D2E" w:rsidRPr="004C5D2E" w:rsidRDefault="000F60A2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>Biedrība “Bu(o)rn”</w:t>
            </w:r>
          </w:p>
        </w:tc>
      </w:tr>
      <w:tr w:rsidR="004C5D2E" w:rsidRPr="004C5D2E" w14:paraId="175F0C32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C645FC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īstenošanas gads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779369" w14:textId="01B30D1A" w:rsidR="004C5D2E" w:rsidRPr="004C5D2E" w:rsidRDefault="000F60A2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 xml:space="preserve"> 2025</w:t>
            </w:r>
          </w:p>
        </w:tc>
      </w:tr>
      <w:tr w:rsidR="004C5D2E" w:rsidRPr="0004497B" w14:paraId="71E4A5AE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63A6F7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finansēšanas summa un finansēšanas avots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81211F1" w14:textId="77777777" w:rsidR="006317D6" w:rsidRPr="00EB73C1" w:rsidRDefault="004C5D2E" w:rsidP="006317D6">
            <w:pPr>
              <w:spacing w:line="360" w:lineRule="auto"/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6317D6" w:rsidRPr="00EB73C1">
              <w:rPr>
                <w:rFonts w:ascii="Times New Roman" w:hAnsi="Times New Roman" w:cs="Times New Roman"/>
                <w:lang w:val="lv-LV"/>
              </w:rPr>
              <w:t xml:space="preserve">Finansējuma avots: </w:t>
            </w:r>
          </w:p>
          <w:p w14:paraId="109A44DA" w14:textId="728E4C4D" w:rsidR="006317D6" w:rsidRPr="00EB73C1" w:rsidRDefault="006317D6" w:rsidP="006317D6">
            <w:pPr>
              <w:spacing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73C1">
              <w:rPr>
                <w:rFonts w:ascii="Times New Roman" w:eastAsia="Times New Roman" w:hAnsi="Times New Roman" w:cs="Times New Roman"/>
                <w:lang w:val="lv-LV"/>
              </w:rPr>
              <w:t>Eiropas Savienības Atveseļošanas fonda projekts  „Slimību profilakses un kontroles centra organizētie sabiedrības veselības pētījumi” (identifikācijas Nr.4.1.1.1.i.0/1/22/I/VM/001)</w:t>
            </w:r>
          </w:p>
          <w:p w14:paraId="422EC109" w14:textId="30F807E9" w:rsidR="006317D6" w:rsidRPr="00EB73C1" w:rsidRDefault="006317D6" w:rsidP="006317D6">
            <w:pPr>
              <w:spacing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73C1">
              <w:rPr>
                <w:rFonts w:ascii="Times New Roman" w:eastAsia="Times New Roman" w:hAnsi="Times New Roman" w:cs="Times New Roman"/>
                <w:lang w:val="lv-LV"/>
              </w:rPr>
              <w:t xml:space="preserve">Finansējuma summa: </w:t>
            </w:r>
          </w:p>
          <w:p w14:paraId="587A9C3F" w14:textId="328BE1DC" w:rsidR="006317D6" w:rsidRPr="00EB73C1" w:rsidRDefault="00D172C8" w:rsidP="006317D6">
            <w:pPr>
              <w:spacing w:line="36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EB73C1">
              <w:rPr>
                <w:rFonts w:ascii="Times New Roman" w:eastAsia="Times New Roman" w:hAnsi="Times New Roman" w:cs="Times New Roman"/>
                <w:lang w:val="lv-LV"/>
              </w:rPr>
              <w:t xml:space="preserve">192 630,78 EUR tai skaitā PVN. </w:t>
            </w:r>
          </w:p>
          <w:p w14:paraId="6E093289" w14:textId="095026C1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C5D2E" w:rsidRPr="004C5D2E" w14:paraId="6850260B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B50469" w14:textId="5CFA5843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klasifikācija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772842" w14:textId="23EE2AC2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38242A" w:rsidRPr="00EB73C1">
              <w:rPr>
                <w:rFonts w:ascii="Times New Roman" w:hAnsi="Times New Roman" w:cs="Times New Roman"/>
                <w:lang w:val="lv-LV"/>
              </w:rPr>
              <w:t>Sabiedriskās domas pētījums</w:t>
            </w:r>
          </w:p>
        </w:tc>
      </w:tr>
      <w:tr w:rsidR="004C5D2E" w:rsidRPr="004C5D2E" w14:paraId="77280AB5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D06B6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ģeogrāfiskais aptvērums</w:t>
            </w:r>
            <w:r w:rsidRPr="004C5D2E">
              <w:rPr>
                <w:rFonts w:ascii="Times New Roman" w:hAnsi="Times New Roman" w:cs="Times New Roman"/>
                <w:lang w:val="lv-LV"/>
              </w:rPr>
              <w:br/>
              <w:t>(visa Latvija vai noteikts reģions/novads)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B64956" w14:textId="2827870B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D903C5" w:rsidRPr="00EB73C1">
              <w:rPr>
                <w:rFonts w:ascii="Times New Roman" w:hAnsi="Times New Roman" w:cs="Times New Roman"/>
                <w:lang w:val="lv-LV"/>
              </w:rPr>
              <w:t xml:space="preserve">Visa Latvija </w:t>
            </w:r>
          </w:p>
        </w:tc>
      </w:tr>
      <w:tr w:rsidR="004C5D2E" w:rsidRPr="00981879" w14:paraId="0B9D480A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2FB0DF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mērķa grupa/-as</w:t>
            </w:r>
            <w:r w:rsidRPr="004C5D2E">
              <w:rPr>
                <w:rFonts w:ascii="Times New Roman" w:hAnsi="Times New Roman" w:cs="Times New Roman"/>
                <w:lang w:val="lv-LV"/>
              </w:rPr>
              <w:br/>
              <w:t>(piemēram, Latvijas iedzīvotāji darbspējas vecumā)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C0E4FE" w14:textId="4F64CBB6" w:rsidR="004C5D2E" w:rsidRPr="00EB73C1" w:rsidRDefault="00D91615" w:rsidP="00D91615">
            <w:pPr>
              <w:spacing w:before="120" w:after="0" w:line="360" w:lineRule="auto"/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 xml:space="preserve">Pētījumā tika iekļautas divas mērķa grupas: </w:t>
            </w:r>
          </w:p>
          <w:p w14:paraId="5E1D9C05" w14:textId="5BA57473" w:rsidR="00D91615" w:rsidRPr="00EB73C1" w:rsidRDefault="00D91615" w:rsidP="00D91615">
            <w:pPr>
              <w:pStyle w:val="ListParagraph"/>
              <w:numPr>
                <w:ilvl w:val="0"/>
                <w:numId w:val="3"/>
              </w:numPr>
              <w:spacing w:before="160" w:after="200" w:line="36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B73C1">
              <w:rPr>
                <w:rFonts w:ascii="Times New Roman" w:eastAsia="Times New Roman" w:hAnsi="Times New Roman" w:cs="Times New Roman"/>
                <w:lang w:val="lv-LV"/>
              </w:rPr>
              <w:t>bērnu vecāki vai t</w:t>
            </w:r>
            <w:r w:rsidR="006D7B05">
              <w:rPr>
                <w:rFonts w:ascii="Times New Roman" w:eastAsia="Times New Roman" w:hAnsi="Times New Roman" w:cs="Times New Roman"/>
                <w:lang w:val="lv-LV"/>
              </w:rPr>
              <w:t>o</w:t>
            </w:r>
            <w:r w:rsidRPr="00EB73C1">
              <w:rPr>
                <w:rFonts w:ascii="Times New Roman" w:eastAsia="Times New Roman" w:hAnsi="Times New Roman" w:cs="Times New Roman"/>
                <w:lang w:val="lv-LV"/>
              </w:rPr>
              <w:t xml:space="preserve"> likumiskais pārstāvis (piem., aizbildnis vai trešā persona, kuru pilnvarojuši nepilngadīgā/-o bērna/-u vecāki vai aizbildņi u.c.) (bērnu vecums no 0 mēnešie</w:t>
            </w:r>
            <w:r w:rsidR="00211798" w:rsidRPr="00EB73C1">
              <w:rPr>
                <w:rFonts w:ascii="Times New Roman" w:eastAsia="Times New Roman" w:hAnsi="Times New Roman" w:cs="Times New Roman"/>
                <w:lang w:val="lv-LV"/>
              </w:rPr>
              <w:t xml:space="preserve">m </w:t>
            </w:r>
            <w:r w:rsidRPr="00EB73C1">
              <w:rPr>
                <w:rFonts w:ascii="Times New Roman" w:eastAsia="Times New Roman" w:hAnsi="Times New Roman" w:cs="Times New Roman"/>
                <w:lang w:val="lv-LV"/>
              </w:rPr>
              <w:t>līdz 1</w:t>
            </w:r>
            <w:r w:rsidR="00211798" w:rsidRPr="00EB73C1">
              <w:rPr>
                <w:rFonts w:ascii="Times New Roman" w:eastAsia="Times New Roman" w:hAnsi="Times New Roman" w:cs="Times New Roman"/>
                <w:lang w:val="lv-LV"/>
              </w:rPr>
              <w:t>8</w:t>
            </w:r>
            <w:r w:rsidRPr="00EB73C1">
              <w:rPr>
                <w:rFonts w:ascii="Times New Roman" w:eastAsia="Times New Roman" w:hAnsi="Times New Roman" w:cs="Times New Roman"/>
                <w:lang w:val="lv-LV"/>
              </w:rPr>
              <w:t xml:space="preserve"> gadiem);</w:t>
            </w:r>
          </w:p>
          <w:p w14:paraId="30F74B0D" w14:textId="77777777" w:rsidR="00D91615" w:rsidRPr="00EB73C1" w:rsidRDefault="00D91615" w:rsidP="00D91615">
            <w:pPr>
              <w:pStyle w:val="ListParagraph"/>
              <w:numPr>
                <w:ilvl w:val="0"/>
                <w:numId w:val="3"/>
              </w:numPr>
              <w:spacing w:before="160" w:after="200" w:line="36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B73C1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primārās veselības aprūpes speciālisti, kuri iesaistīti vakcinācijas procesa nodrošināšanā veselības aprūpes iestādēs.</w:t>
            </w:r>
          </w:p>
          <w:p w14:paraId="7EA1433C" w14:textId="3A53879F" w:rsidR="00D91615" w:rsidRPr="00EB73C1" w:rsidRDefault="00D91615" w:rsidP="00D91615">
            <w:pPr>
              <w:spacing w:before="120" w:after="0" w:line="36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C5D2E" w:rsidRPr="0004497B" w14:paraId="2BA2854E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E16932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lastRenderedPageBreak/>
              <w:t>Pētījumā izmantotās metodes atbilstoši informācijas ieguves veidam: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8D7A89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04497B" w14:paraId="36DD493C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4E0C945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96296F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1) tiesību aktu vai politikas plānošanas dokumentu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C03C7D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4C5D2E" w14:paraId="41B09D3D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624F5F5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0A9622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2) statistikas datu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2E48EE" w14:textId="21E65565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04497B" w14:paraId="0ABADB66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2F8D11A4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EA8A4F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3) esošo pētījumu datu sekundārā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C8C859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4C5D2E" w14:paraId="685CAB7C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3D7F7C18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EC88CB8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4) padziļināto/ekspertu interviju veikšana un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CB4D2E" w14:textId="0C0CDE6F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B1641F" w:rsidRPr="00EB73C1">
              <w:rPr>
                <w:rFonts w:ascii="Times New Roman" w:hAnsi="Times New Roman" w:cs="Times New Roman"/>
                <w:lang w:val="lv-LV"/>
              </w:rPr>
              <w:t>Pētījumā tika izmantota</w:t>
            </w:r>
          </w:p>
        </w:tc>
      </w:tr>
      <w:tr w:rsidR="004C5D2E" w:rsidRPr="0004497B" w14:paraId="66D87167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462BA2B7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0E2B30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5) fokusa grupu diskusiju veikšana un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9B88B6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4C5D2E" w14:paraId="5BD1A6A7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8835A9B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37AC27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6) gadījumu izpēte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D3FE5B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4C5D2E" w14:paraId="0D65FA9D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4F32AFD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FC4E8FA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7) kvantitatīvās aptaujas veikšana un datu analīze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2A9A15" w14:textId="64BE0191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B1641F" w:rsidRPr="00EB73C1">
              <w:rPr>
                <w:rFonts w:ascii="Times New Roman" w:hAnsi="Times New Roman" w:cs="Times New Roman"/>
                <w:lang w:val="lv-LV"/>
              </w:rPr>
              <w:t>Pētījumā tika izmantota</w:t>
            </w:r>
          </w:p>
        </w:tc>
      </w:tr>
      <w:tr w:rsidR="004C5D2E" w:rsidRPr="004C5D2E" w14:paraId="685C5CAF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1C4C0A7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3B32C1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8) citas metodes (norādīt, kādas)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16EBA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04497B" w14:paraId="108FD6C3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5C83C2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Kvantitatīvās pētījuma metodes</w:t>
            </w:r>
            <w:r w:rsidRPr="004C5D2E">
              <w:rPr>
                <w:rFonts w:ascii="Times New Roman" w:hAnsi="Times New Roman" w:cs="Times New Roman"/>
                <w:lang w:val="lv-LV"/>
              </w:rPr>
              <w:br/>
              <w:t>(ja attiecināms):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378FAF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04497B" w14:paraId="132A026E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92EB46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CCC5A4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1) aptaujas izlases metode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C6EAC9" w14:textId="7B411392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2E6411" w:rsidRPr="001763B4">
              <w:rPr>
                <w:rFonts w:ascii="Times New Roman" w:eastAsia="Times New Roman" w:hAnsi="Times New Roman" w:cs="Times New Roman"/>
                <w:lang w:val="lv-LV"/>
              </w:rPr>
              <w:t>intervētāji aptaujāja pētījuma dalībniekus klātienē (tiešās intervijas), izmantojot elektroniski izveidotu anketu.</w:t>
            </w:r>
          </w:p>
        </w:tc>
      </w:tr>
      <w:tr w:rsidR="004C5D2E" w:rsidRPr="004C5D2E" w14:paraId="307D9894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4DABEE88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EAB690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2) aptaujāto/anketēto respondentu/vienību skaits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6AA660" w14:textId="31C7A4C8" w:rsidR="004C5D2E" w:rsidRPr="004C5D2E" w:rsidRDefault="008D100D" w:rsidP="004C5D2E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1983</w:t>
            </w:r>
          </w:p>
        </w:tc>
      </w:tr>
      <w:tr w:rsidR="004C5D2E" w:rsidRPr="00805C61" w14:paraId="27FADEB0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53283A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Kvalitatīvās pētījuma metodes</w:t>
            </w:r>
            <w:r w:rsidRPr="004C5D2E">
              <w:rPr>
                <w:rFonts w:ascii="Times New Roman" w:hAnsi="Times New Roman" w:cs="Times New Roman"/>
                <w:lang w:val="lv-LV"/>
              </w:rPr>
              <w:br/>
              <w:t>(ja attiecināms):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3B1754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</w:tr>
      <w:tr w:rsidR="004C5D2E" w:rsidRPr="004C5D2E" w14:paraId="7ADEFE30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E3DD25D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lastRenderedPageBreak/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BC1E1E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1) padziļināto/ekspertu interviju skaits (ja attiecināms)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DC20B1" w14:textId="2119BA8E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8D100D">
              <w:rPr>
                <w:rFonts w:ascii="Times New Roman" w:hAnsi="Times New Roman" w:cs="Times New Roman"/>
                <w:lang w:val="lv-LV"/>
              </w:rPr>
              <w:t>107</w:t>
            </w:r>
          </w:p>
        </w:tc>
      </w:tr>
      <w:tr w:rsidR="004C5D2E" w:rsidRPr="004C5D2E" w14:paraId="739C087E" w14:textId="77777777" w:rsidTr="00520034">
        <w:tc>
          <w:tcPr>
            <w:tcW w:w="27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57CA7A1C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</w:p>
        </w:tc>
        <w:tc>
          <w:tcPr>
            <w:tcW w:w="2026" w:type="pct"/>
            <w:tcBorders>
              <w:top w:val="outset" w:sz="6" w:space="0" w:color="414142"/>
              <w:left w:val="nil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BB7BFC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2) fokusa grupu diskusiju skaits (ja attiecināms)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C903707" w14:textId="45D90F01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8D100D">
              <w:rPr>
                <w:rFonts w:ascii="Times New Roman" w:hAnsi="Times New Roman" w:cs="Times New Roman"/>
                <w:lang w:val="lv-LV"/>
              </w:rPr>
              <w:t xml:space="preserve">Nav attiecināms </w:t>
            </w:r>
          </w:p>
        </w:tc>
      </w:tr>
      <w:tr w:rsidR="004C5D2E" w:rsidRPr="00805C61" w14:paraId="63F8061E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FEBAD7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Izmantotās analīzes grupas (griezumi)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52A7B1" w14:textId="4724688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EB73C1" w:rsidRPr="00EB73C1">
              <w:rPr>
                <w:rFonts w:ascii="Times New Roman" w:eastAsia="Times New Roman" w:hAnsi="Times New Roman" w:cs="Times New Roman"/>
                <w:lang w:val="lv-LV"/>
              </w:rPr>
              <w:t>Pētījumā tika izmantots kvantitatīvs un kvalitatīvs šķērsgriezums</w:t>
            </w:r>
          </w:p>
        </w:tc>
      </w:tr>
      <w:tr w:rsidR="004C5D2E" w:rsidRPr="004C5D2E" w14:paraId="146C95B9" w14:textId="77777777" w:rsidTr="00520034"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0F9E6A" w14:textId="77777777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pasūtītāja kontaktinformācija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667A33" w14:textId="65328F45" w:rsidR="00CB098A" w:rsidRPr="00EB73C1" w:rsidRDefault="004C5D2E" w:rsidP="00CB098A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CB098A" w:rsidRPr="00EB73C1">
              <w:rPr>
                <w:rFonts w:ascii="Times New Roman" w:hAnsi="Times New Roman" w:cs="Times New Roman"/>
                <w:lang w:val="lv-LV"/>
              </w:rPr>
              <w:t>Iveta Pudule</w:t>
            </w:r>
          </w:p>
          <w:p w14:paraId="6F4D3466" w14:textId="376200C4" w:rsidR="00CB098A" w:rsidRPr="00EB73C1" w:rsidRDefault="00CB098A" w:rsidP="00CB098A">
            <w:pPr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>Vecākā sabiedrības veselības analītiķe</w:t>
            </w:r>
          </w:p>
          <w:p w14:paraId="0AF2D895" w14:textId="77777777" w:rsidR="004C5D2E" w:rsidRPr="00EB73C1" w:rsidRDefault="00CB098A" w:rsidP="00CB098A">
            <w:pPr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>Tālrunis: +371 67387666</w:t>
            </w:r>
          </w:p>
          <w:p w14:paraId="1B3D2978" w14:textId="4E62E10A" w:rsidR="00CB098A" w:rsidRPr="004C5D2E" w:rsidRDefault="00CB098A" w:rsidP="00CB098A">
            <w:pPr>
              <w:rPr>
                <w:rFonts w:ascii="Times New Roman" w:hAnsi="Times New Roman" w:cs="Times New Roman"/>
                <w:lang w:val="lv-LV"/>
              </w:rPr>
            </w:pPr>
            <w:r w:rsidRPr="00EB73C1">
              <w:rPr>
                <w:rFonts w:ascii="Times New Roman" w:hAnsi="Times New Roman" w:cs="Times New Roman"/>
                <w:lang w:val="lv-LV"/>
              </w:rPr>
              <w:t xml:space="preserve">E-pasts: </w:t>
            </w:r>
            <w:r w:rsidR="009A0291" w:rsidRPr="00EB73C1">
              <w:rPr>
                <w:rFonts w:ascii="Times New Roman" w:hAnsi="Times New Roman" w:cs="Times New Roman"/>
              </w:rPr>
              <w:t>iveta.pudule@spkc.gov.lv</w:t>
            </w:r>
          </w:p>
        </w:tc>
      </w:tr>
      <w:tr w:rsidR="004C5D2E" w:rsidRPr="00805C61" w14:paraId="3B5F146A" w14:textId="77777777" w:rsidTr="00520034">
        <w:trPr>
          <w:trHeight w:val="312"/>
        </w:trPr>
        <w:tc>
          <w:tcPr>
            <w:tcW w:w="2302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B8855E" w14:textId="1BD1DC3A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Pētījuma autori</w:t>
            </w:r>
            <w:r w:rsidR="00EB73C1"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4C5D2E">
              <w:rPr>
                <w:rFonts w:ascii="Times New Roman" w:hAnsi="Times New Roman" w:cs="Times New Roman"/>
                <w:b/>
                <w:bCs/>
                <w:lang w:val="lv-LV"/>
              </w:rPr>
              <w:t>(autortiesību subjekti)</w:t>
            </w:r>
          </w:p>
        </w:tc>
        <w:tc>
          <w:tcPr>
            <w:tcW w:w="26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73D9F4" w14:textId="1EB47FA1" w:rsidR="00CC50D4" w:rsidRPr="008D100D" w:rsidRDefault="004C5D2E" w:rsidP="00CC50D4">
            <w:pPr>
              <w:spacing w:before="120" w:after="0" w:line="360" w:lineRule="auto"/>
              <w:rPr>
                <w:rFonts w:ascii="Times New Roman" w:hAnsi="Times New Roman" w:cs="Times New Roman"/>
                <w:lang w:val="lv-LV"/>
              </w:rPr>
            </w:pPr>
            <w:r w:rsidRPr="004C5D2E">
              <w:rPr>
                <w:rFonts w:ascii="Times New Roman" w:hAnsi="Times New Roman" w:cs="Times New Roman"/>
                <w:lang w:val="lv-LV"/>
              </w:rPr>
              <w:t> </w:t>
            </w:r>
            <w:r w:rsidR="00CC50D4" w:rsidRPr="008D100D">
              <w:rPr>
                <w:rFonts w:ascii="Times New Roman" w:hAnsi="Times New Roman" w:cs="Times New Roman"/>
                <w:lang w:val="lv-LV"/>
              </w:rPr>
              <w:t>Lilian Tzivian (Liliāna Civjāne), Renārs Erts, Lāsma Rudoviča, Madara Zaikovska</w:t>
            </w:r>
          </w:p>
          <w:p w14:paraId="55E1329A" w14:textId="257D0DCE" w:rsidR="004C5D2E" w:rsidRPr="004C5D2E" w:rsidRDefault="004C5D2E" w:rsidP="004C5D2E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99EF183" w14:textId="77777777" w:rsidR="004C5D2E" w:rsidRPr="004C5D2E" w:rsidRDefault="004C5D2E" w:rsidP="004C5D2E">
      <w:pPr>
        <w:rPr>
          <w:lang w:val="lv-LV"/>
        </w:rPr>
      </w:pPr>
      <w:r w:rsidRPr="004C5D2E">
        <w:rPr>
          <w:lang w:val="lv-LV"/>
        </w:rPr>
        <w:t> </w:t>
      </w:r>
    </w:p>
    <w:p w14:paraId="759697DA" w14:textId="77777777" w:rsidR="000868DB" w:rsidRPr="000F60A2" w:rsidRDefault="000868DB">
      <w:pPr>
        <w:rPr>
          <w:lang w:val="lv-LV"/>
        </w:rPr>
      </w:pPr>
    </w:p>
    <w:sectPr w:rsidR="000868DB" w:rsidRPr="000F6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A1F" w14:textId="77777777" w:rsidR="00735EA0" w:rsidRDefault="00735EA0" w:rsidP="00CD5B6B">
      <w:pPr>
        <w:spacing w:after="0" w:line="240" w:lineRule="auto"/>
      </w:pPr>
      <w:r>
        <w:separator/>
      </w:r>
    </w:p>
  </w:endnote>
  <w:endnote w:type="continuationSeparator" w:id="0">
    <w:p w14:paraId="47EDD22D" w14:textId="77777777" w:rsidR="00735EA0" w:rsidRDefault="00735EA0" w:rsidP="00CD5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05763" w14:textId="77777777" w:rsidR="00735EA0" w:rsidRDefault="00735EA0" w:rsidP="00CD5B6B">
      <w:pPr>
        <w:spacing w:after="0" w:line="240" w:lineRule="auto"/>
      </w:pPr>
      <w:r>
        <w:separator/>
      </w:r>
    </w:p>
  </w:footnote>
  <w:footnote w:type="continuationSeparator" w:id="0">
    <w:p w14:paraId="6129374B" w14:textId="77777777" w:rsidR="00735EA0" w:rsidRDefault="00735EA0" w:rsidP="00CD5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8FA"/>
    <w:multiLevelType w:val="multilevel"/>
    <w:tmpl w:val="2E8CF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CC6739"/>
    <w:multiLevelType w:val="hybridMultilevel"/>
    <w:tmpl w:val="A836C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14F2"/>
    <w:multiLevelType w:val="multilevel"/>
    <w:tmpl w:val="DE62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4DE0925"/>
    <w:multiLevelType w:val="hybridMultilevel"/>
    <w:tmpl w:val="5DA8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698CE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10C5E"/>
    <w:multiLevelType w:val="hybridMultilevel"/>
    <w:tmpl w:val="D2967FFE"/>
    <w:lvl w:ilvl="0" w:tplc="04090019">
      <w:start w:val="1"/>
      <w:numFmt w:val="lowerLetter"/>
      <w:lvlText w:val="%1."/>
      <w:lvlJc w:val="left"/>
      <w:pPr>
        <w:ind w:left="1444" w:hanging="360"/>
      </w:p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num w:numId="1" w16cid:durableId="725909207">
    <w:abstractNumId w:val="2"/>
  </w:num>
  <w:num w:numId="2" w16cid:durableId="1412699632">
    <w:abstractNumId w:val="0"/>
  </w:num>
  <w:num w:numId="3" w16cid:durableId="2107144709">
    <w:abstractNumId w:val="3"/>
  </w:num>
  <w:num w:numId="4" w16cid:durableId="1179394978">
    <w:abstractNumId w:val="1"/>
  </w:num>
  <w:num w:numId="5" w16cid:durableId="88745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2"/>
    <w:rsid w:val="0004497B"/>
    <w:rsid w:val="000868DB"/>
    <w:rsid w:val="000F60A2"/>
    <w:rsid w:val="00211798"/>
    <w:rsid w:val="00247456"/>
    <w:rsid w:val="002E6411"/>
    <w:rsid w:val="002F6AB9"/>
    <w:rsid w:val="0038242A"/>
    <w:rsid w:val="003C6DE9"/>
    <w:rsid w:val="003D3F8E"/>
    <w:rsid w:val="00410B02"/>
    <w:rsid w:val="0045444A"/>
    <w:rsid w:val="004913E3"/>
    <w:rsid w:val="004C5D2E"/>
    <w:rsid w:val="004C6892"/>
    <w:rsid w:val="00520034"/>
    <w:rsid w:val="00541E8B"/>
    <w:rsid w:val="00615320"/>
    <w:rsid w:val="00624E84"/>
    <w:rsid w:val="006317D6"/>
    <w:rsid w:val="00681275"/>
    <w:rsid w:val="006D7B05"/>
    <w:rsid w:val="0072134A"/>
    <w:rsid w:val="00725601"/>
    <w:rsid w:val="00735EA0"/>
    <w:rsid w:val="00794D35"/>
    <w:rsid w:val="00805C61"/>
    <w:rsid w:val="008245C9"/>
    <w:rsid w:val="008D100D"/>
    <w:rsid w:val="00981879"/>
    <w:rsid w:val="009A0291"/>
    <w:rsid w:val="009A64E7"/>
    <w:rsid w:val="009E48B8"/>
    <w:rsid w:val="00A512CF"/>
    <w:rsid w:val="00AA2757"/>
    <w:rsid w:val="00AE25BF"/>
    <w:rsid w:val="00B1641F"/>
    <w:rsid w:val="00B80529"/>
    <w:rsid w:val="00C2435F"/>
    <w:rsid w:val="00C43A45"/>
    <w:rsid w:val="00C51ED2"/>
    <w:rsid w:val="00C8113E"/>
    <w:rsid w:val="00CA08DD"/>
    <w:rsid w:val="00CA6302"/>
    <w:rsid w:val="00CB098A"/>
    <w:rsid w:val="00CC50D4"/>
    <w:rsid w:val="00CC6D6E"/>
    <w:rsid w:val="00CD5B6B"/>
    <w:rsid w:val="00D172C8"/>
    <w:rsid w:val="00D903C5"/>
    <w:rsid w:val="00D90C9C"/>
    <w:rsid w:val="00D91615"/>
    <w:rsid w:val="00DB698D"/>
    <w:rsid w:val="00EB73C1"/>
    <w:rsid w:val="00E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9F13"/>
  <w15:chartTrackingRefBased/>
  <w15:docId w15:val="{EA1FA8A3-2F68-436C-8402-FDC0608B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892"/>
    <w:rPr>
      <w:i/>
      <w:iCs/>
      <w:color w:val="404040" w:themeColor="text1" w:themeTint="BF"/>
    </w:rPr>
  </w:style>
  <w:style w:type="paragraph" w:styleId="ListParagraph">
    <w:name w:val="List Paragraph"/>
    <w:aliases w:val="No Spacing,2,Syle 1,H&amp;P List Paragraph,Virsraksti,Saistīto dokumentu saraksts,Numurets,Normal bullet 2,Bullet list,Strip,Subtle Emphasis1,Akapit z listą BS,Numbered Para 1,Dot pt,List Paragraph Char Char Char,Indicator Text,Bullet 1,Ha"/>
    <w:basedOn w:val="Normal"/>
    <w:link w:val="ListParagraphChar"/>
    <w:uiPriority w:val="1"/>
    <w:qFormat/>
    <w:rsid w:val="004C6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8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D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D2E"/>
    <w:rPr>
      <w:color w:val="605E5C"/>
      <w:shd w:val="clear" w:color="auto" w:fill="E1DFDD"/>
    </w:rPr>
  </w:style>
  <w:style w:type="character" w:customStyle="1" w:styleId="ListParagraphChar">
    <w:name w:val="List Paragraph Char"/>
    <w:aliases w:val="No Spacing Char,2 Char,Syle 1 Char,H&amp;P List Paragraph Char,Virsraksti Char,Saistīto dokumentu saraksts Char,Numurets Char,Normal bullet 2 Char,Bullet list Char,Strip Char,Subtle Emphasis1 Char,Akapit z listą BS Char,Dot pt Char"/>
    <w:link w:val="ListParagraph"/>
    <w:uiPriority w:val="1"/>
    <w:qFormat/>
    <w:rsid w:val="004913E3"/>
  </w:style>
  <w:style w:type="paragraph" w:styleId="Header">
    <w:name w:val="header"/>
    <w:basedOn w:val="Normal"/>
    <w:link w:val="HeaderChar"/>
    <w:uiPriority w:val="99"/>
    <w:unhideWhenUsed/>
    <w:rsid w:val="00CD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B6B"/>
  </w:style>
  <w:style w:type="paragraph" w:styleId="Footer">
    <w:name w:val="footer"/>
    <w:basedOn w:val="Normal"/>
    <w:link w:val="FooterChar"/>
    <w:uiPriority w:val="99"/>
    <w:unhideWhenUsed/>
    <w:rsid w:val="00CD5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B6B"/>
  </w:style>
  <w:style w:type="paragraph" w:styleId="Revision">
    <w:name w:val="Revision"/>
    <w:hidden/>
    <w:uiPriority w:val="99"/>
    <w:semiHidden/>
    <w:rsid w:val="006D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Zaikovska</dc:creator>
  <cp:keywords/>
  <dc:description/>
  <cp:lastModifiedBy>Iveta Pudule</cp:lastModifiedBy>
  <cp:revision>2</cp:revision>
  <dcterms:created xsi:type="dcterms:W3CDTF">2026-02-23T08:05:00Z</dcterms:created>
  <dcterms:modified xsi:type="dcterms:W3CDTF">2026-02-23T08:05:00Z</dcterms:modified>
</cp:coreProperties>
</file>