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jc w:val="center"/>
        <w:tblCellMar>
          <w:top w:w="20" w:type="dxa"/>
          <w:left w:w="20" w:type="dxa"/>
          <w:bottom w:w="20" w:type="dxa"/>
          <w:right w:w="20" w:type="dxa"/>
        </w:tblCellMar>
        <w:tblLook w:val="04A0" w:firstRow="1" w:lastRow="0" w:firstColumn="1" w:lastColumn="0" w:noHBand="0" w:noVBand="1"/>
      </w:tblPr>
      <w:tblGrid>
        <w:gridCol w:w="2609"/>
        <w:gridCol w:w="6180"/>
      </w:tblGrid>
      <w:tr w:rsidR="006102E8" w:rsidRPr="00191730" w14:paraId="1D12259A" w14:textId="77777777" w:rsidTr="006102E8">
        <w:trPr>
          <w:jc w:val="center"/>
        </w:trPr>
        <w:tc>
          <w:tcPr>
            <w:tcW w:w="1484" w:type="pct"/>
            <w:tcBorders>
              <w:top w:val="nil"/>
              <w:left w:val="nil"/>
              <w:bottom w:val="nil"/>
              <w:right w:val="nil"/>
            </w:tcBorders>
            <w:hideMark/>
          </w:tcPr>
          <w:p w14:paraId="7B775724" w14:textId="77777777" w:rsidR="006102E8" w:rsidRPr="00191730" w:rsidRDefault="006102E8" w:rsidP="006102E8">
            <w:pPr>
              <w:rPr>
                <w:lang w:val="lv-LV"/>
              </w:rPr>
            </w:pPr>
            <w:r w:rsidRPr="00191730">
              <w:rPr>
                <w:b/>
                <w:bCs/>
                <w:lang w:val="lv-LV"/>
              </w:rPr>
              <w:t>Anotācija pētījumam</w:t>
            </w:r>
          </w:p>
        </w:tc>
        <w:tc>
          <w:tcPr>
            <w:tcW w:w="3516" w:type="pct"/>
            <w:tcBorders>
              <w:top w:val="nil"/>
              <w:left w:val="nil"/>
              <w:bottom w:val="single" w:sz="6" w:space="0" w:color="414142"/>
              <w:right w:val="nil"/>
            </w:tcBorders>
            <w:hideMark/>
          </w:tcPr>
          <w:p w14:paraId="2C56E815" w14:textId="3E8EF2CF" w:rsidR="006102E8" w:rsidRPr="00191730" w:rsidRDefault="000C44C1" w:rsidP="006102E8">
            <w:pPr>
              <w:rPr>
                <w:lang w:val="lv-LV"/>
              </w:rPr>
            </w:pPr>
            <w:r w:rsidRPr="00191730">
              <w:rPr>
                <w:lang w:val="lv-LV"/>
              </w:rPr>
              <w:t>Valsts aizsardzības mācības un Jaunsardzes likuma ietekmes pēcpārbaudes (ex-post) novērtējums</w:t>
            </w:r>
          </w:p>
        </w:tc>
      </w:tr>
      <w:tr w:rsidR="006102E8" w:rsidRPr="00191730" w14:paraId="6488C54B" w14:textId="77777777" w:rsidTr="006102E8">
        <w:trPr>
          <w:jc w:val="center"/>
        </w:trPr>
        <w:tc>
          <w:tcPr>
            <w:tcW w:w="1484" w:type="pct"/>
            <w:tcBorders>
              <w:top w:val="nil"/>
              <w:left w:val="nil"/>
              <w:bottom w:val="nil"/>
              <w:right w:val="nil"/>
            </w:tcBorders>
            <w:hideMark/>
          </w:tcPr>
          <w:p w14:paraId="5C3952B8" w14:textId="77777777" w:rsidR="006102E8" w:rsidRPr="00191730" w:rsidRDefault="006102E8" w:rsidP="006102E8">
            <w:pPr>
              <w:rPr>
                <w:lang w:val="lv-LV"/>
              </w:rPr>
            </w:pPr>
            <w:r w:rsidRPr="00191730">
              <w:rPr>
                <w:lang w:val="lv-LV"/>
              </w:rPr>
              <w:t> </w:t>
            </w:r>
          </w:p>
        </w:tc>
        <w:tc>
          <w:tcPr>
            <w:tcW w:w="3516" w:type="pct"/>
            <w:tcBorders>
              <w:top w:val="single" w:sz="6" w:space="0" w:color="414142"/>
              <w:left w:val="nil"/>
              <w:bottom w:val="nil"/>
              <w:right w:val="nil"/>
            </w:tcBorders>
            <w:hideMark/>
          </w:tcPr>
          <w:p w14:paraId="1E274B84" w14:textId="77777777" w:rsidR="006102E8" w:rsidRPr="00191730" w:rsidRDefault="006102E8" w:rsidP="006102E8">
            <w:pPr>
              <w:jc w:val="center"/>
              <w:rPr>
                <w:lang w:val="lv-LV"/>
              </w:rPr>
            </w:pPr>
            <w:r w:rsidRPr="00191730">
              <w:rPr>
                <w:lang w:val="lv-LV"/>
              </w:rPr>
              <w:t>(pētījuma nosaukums)</w:t>
            </w:r>
          </w:p>
        </w:tc>
      </w:tr>
    </w:tbl>
    <w:p w14:paraId="4D623D4D" w14:textId="5F37DEE8" w:rsidR="006102E8" w:rsidRPr="00191730" w:rsidRDefault="006102E8" w:rsidP="006102E8">
      <w:pPr>
        <w:rPr>
          <w:lang w:val="lv-LV"/>
        </w:rPr>
      </w:pPr>
      <w:r w:rsidRPr="00191730">
        <w:rPr>
          <w:lang w:val="lv-LV"/>
        </w:rPr>
        <w:t> </w:t>
      </w:r>
    </w:p>
    <w:tbl>
      <w:tblPr>
        <w:tblW w:w="9000" w:type="dxa"/>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540"/>
        <w:gridCol w:w="3960"/>
        <w:gridCol w:w="4500"/>
      </w:tblGrid>
      <w:tr w:rsidR="006102E8" w:rsidRPr="00191730" w14:paraId="0B9E5979"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CD680D3" w14:textId="77777777" w:rsidR="006102E8" w:rsidRPr="00191730" w:rsidRDefault="006102E8" w:rsidP="006102E8">
            <w:pPr>
              <w:rPr>
                <w:lang w:val="lv-LV"/>
              </w:rPr>
            </w:pPr>
          </w:p>
          <w:p w14:paraId="5C18EDED" w14:textId="77777777" w:rsidR="006102E8" w:rsidRPr="00191730" w:rsidRDefault="006102E8" w:rsidP="006102E8">
            <w:pPr>
              <w:rPr>
                <w:lang w:val="lv-LV"/>
              </w:rPr>
            </w:pPr>
            <w:r w:rsidRPr="00191730">
              <w:rPr>
                <w:b/>
                <w:bCs/>
                <w:lang w:val="lv-LV"/>
              </w:rPr>
              <w:t>Pētījuma mērķis, uzdevumi un galvenie rezultāti latviešu valodā</w:t>
            </w:r>
            <w:r w:rsidRPr="00191730">
              <w:rPr>
                <w:lang w:val="lv-LV"/>
              </w:rPr>
              <w:t> (brīvā tekstā, aptuveni 150 vārdu)</w:t>
            </w:r>
          </w:p>
          <w:p w14:paraId="436C7DAE" w14:textId="77777777" w:rsidR="006102E8" w:rsidRPr="00191730" w:rsidRDefault="006102E8" w:rsidP="006102E8">
            <w:pPr>
              <w:rPr>
                <w:lang w:val="lv-LV"/>
              </w:rPr>
            </w:pPr>
            <w:r w:rsidRPr="00191730">
              <w:rPr>
                <w:lang w:val="lv-LV"/>
              </w:rPr>
              <w:t> </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9417A74" w14:textId="1D2489EC" w:rsidR="0070340D" w:rsidRPr="00191730" w:rsidRDefault="006102E8" w:rsidP="006102E8">
            <w:pPr>
              <w:rPr>
                <w:lang w:val="lv-LV"/>
              </w:rPr>
            </w:pPr>
            <w:r w:rsidRPr="00191730">
              <w:rPr>
                <w:lang w:val="lv-LV"/>
              </w:rPr>
              <w:t xml:space="preserve">Pētījuma mērķis – </w:t>
            </w:r>
            <w:r w:rsidR="0070340D" w:rsidRPr="00191730">
              <w:rPr>
                <w:lang w:val="lv-LV"/>
              </w:rPr>
              <w:t>noskaidrot Likumā noteikto mērķu sasniegšanu un tā ietekmi uz mērķa grupām, sniedzot padziļinātu analīzi par faktoriem, kas ietekmē Likuma ieviešanu, tai skaitā saistīto tiesību aktu atbilstību, izmantoto rīku un metožu piemērotību, atslēgas personāla sagatavotības atbilstību prasībām, mācību satura atbilstību Likuma mērķiem, materiāltehnisko nodrošinājumu, kā arī izglītības iestāžu un to dibinātāju iesaisti.</w:t>
            </w:r>
          </w:p>
          <w:p w14:paraId="6DB7A002" w14:textId="435A7787" w:rsidR="006102E8" w:rsidRPr="00191730" w:rsidRDefault="296C9BB9" w:rsidP="004123A7">
            <w:pPr>
              <w:rPr>
                <w:lang w:val="lv-LV"/>
              </w:rPr>
            </w:pPr>
            <w:r w:rsidRPr="30A1A359">
              <w:rPr>
                <w:lang w:val="lv-LV"/>
              </w:rPr>
              <w:t xml:space="preserve">Pētījums secina, ka Likuma mērķis kopumā tiek sasniegts, taču abu programmu </w:t>
            </w:r>
            <w:r w:rsidR="366945D2" w:rsidRPr="30A1A359">
              <w:rPr>
                <w:lang w:val="lv-LV"/>
              </w:rPr>
              <w:t>ietekm</w:t>
            </w:r>
            <w:r w:rsidRPr="30A1A359">
              <w:rPr>
                <w:lang w:val="lv-LV"/>
              </w:rPr>
              <w:t>e atšķiras. Jaunsargu programma darbojas efektīvāk – lielākā daļa jaunsargu dalību vērtē pozitīvi, programma sekmīgi attīsta praktiskās iemaņas, pilsonisko apziņu un piederības sajūtu Latvijai. VAM sasniedz mērķi tikai daļēji – militāro prasmju apguves dimensijā rezultāti ir labi, taču pilsoniskās līdzdalības un krīzes situāciju rīcībspējas jomās programma ir nepietiekami sabalansēta. Būtiska problēma ir disproporcija starp satura blokiem – militārajam saturam atvēlēts nesamērīgi lielāks stundu skaits nekā pilsoniskajai audzināšanai. Programmu ietekme ir nevienmērīga dažādās jauniešu grupās – mazāk izteikta Rīgā un rusofono jauniešu vidū.</w:t>
            </w:r>
          </w:p>
          <w:p w14:paraId="341E5B39" w14:textId="01D0ABDF" w:rsidR="006102E8" w:rsidRPr="00191730" w:rsidRDefault="006102E8" w:rsidP="007E6E07">
            <w:pPr>
              <w:rPr>
                <w:lang w:val="lv-LV"/>
              </w:rPr>
            </w:pPr>
          </w:p>
        </w:tc>
      </w:tr>
      <w:tr w:rsidR="006102E8" w:rsidRPr="00191730" w14:paraId="2B31D6C6"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DB4089" w14:textId="77777777" w:rsidR="006102E8" w:rsidRPr="00191730" w:rsidRDefault="006102E8" w:rsidP="006102E8">
            <w:pPr>
              <w:rPr>
                <w:lang w:val="lv-LV"/>
              </w:rPr>
            </w:pPr>
            <w:r w:rsidRPr="00191730">
              <w:rPr>
                <w:b/>
                <w:bCs/>
                <w:lang w:val="lv-LV"/>
              </w:rPr>
              <w:t>Galvenās pētījuma tēmas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CD8687"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t>Likuma ieviešanas ietekme uz Valsts aizsardzības mācības (turpmāk – VAM) izglītojamiem;</w:t>
            </w:r>
          </w:p>
          <w:p w14:paraId="21AE8A3D"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lastRenderedPageBreak/>
              <w:t xml:space="preserve">Likuma ieviešanas ietekme uz jaunsargiem; </w:t>
            </w:r>
          </w:p>
          <w:p w14:paraId="3FFA0B8C"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t xml:space="preserve">Izglītības iestāžu spēja nodrošināt atbalstu VAM un jaunsargu interešu izglītības īstenošanai; </w:t>
            </w:r>
          </w:p>
          <w:p w14:paraId="7699CBFA" w14:textId="513F64C2" w:rsidR="002324C1" w:rsidRPr="00191730" w:rsidRDefault="002324C1" w:rsidP="002324C1">
            <w:pPr>
              <w:pStyle w:val="ListParagraph"/>
              <w:numPr>
                <w:ilvl w:val="0"/>
                <w:numId w:val="4"/>
              </w:numPr>
              <w:spacing w:before="120" w:line="276" w:lineRule="auto"/>
              <w:jc w:val="both"/>
              <w:rPr>
                <w:lang w:val="lv-LV"/>
              </w:rPr>
            </w:pPr>
            <w:r w:rsidRPr="00191730">
              <w:rPr>
                <w:lang w:val="lv-LV"/>
              </w:rPr>
              <w:t xml:space="preserve">Jaunsardzes centra kapacitāte, tai skaitā instruktoru kvalifikācijas prasības; </w:t>
            </w:r>
          </w:p>
          <w:p w14:paraId="05333906"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t>VAM izglītības programmas atbilstība Likumā noteiktā mērķa sasniegšanai;</w:t>
            </w:r>
          </w:p>
          <w:p w14:paraId="191F50C2"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t>Jaunsargu interešu izglītības programmas atbilstība Likumā noteiktā mērķa sasniegšanai;</w:t>
            </w:r>
          </w:p>
          <w:p w14:paraId="6169D115" w14:textId="77777777" w:rsidR="002324C1" w:rsidRPr="00191730" w:rsidRDefault="002324C1" w:rsidP="002324C1">
            <w:pPr>
              <w:pStyle w:val="ListParagraph"/>
              <w:numPr>
                <w:ilvl w:val="0"/>
                <w:numId w:val="4"/>
              </w:numPr>
              <w:spacing w:before="120" w:line="276" w:lineRule="auto"/>
              <w:jc w:val="both"/>
              <w:rPr>
                <w:lang w:val="lv-LV"/>
              </w:rPr>
            </w:pPr>
            <w:r w:rsidRPr="00191730">
              <w:rPr>
                <w:lang w:val="lv-LV"/>
              </w:rPr>
              <w:t xml:space="preserve">VAM un jaunsargu programmu pārskatīšanas un aktualizēšanas mehānismi; </w:t>
            </w:r>
          </w:p>
          <w:p w14:paraId="7A47AFD7" w14:textId="026BF0C9" w:rsidR="006102E8" w:rsidRPr="00191730" w:rsidRDefault="002324C1" w:rsidP="00D22377">
            <w:pPr>
              <w:pStyle w:val="ListParagraph"/>
              <w:numPr>
                <w:ilvl w:val="0"/>
                <w:numId w:val="4"/>
              </w:numPr>
              <w:spacing w:before="120" w:line="276" w:lineRule="auto"/>
              <w:jc w:val="both"/>
              <w:rPr>
                <w:lang w:val="lv-LV"/>
              </w:rPr>
            </w:pPr>
            <w:r w:rsidRPr="00191730">
              <w:rPr>
                <w:lang w:val="lv-LV"/>
              </w:rPr>
              <w:t>Partneru iesaiste programmu kvalitātes nodrošināšanai.</w:t>
            </w:r>
          </w:p>
        </w:tc>
      </w:tr>
      <w:tr w:rsidR="006102E8" w:rsidRPr="00191730" w14:paraId="53B4DB2A"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2093396" w14:textId="77777777" w:rsidR="006102E8" w:rsidRPr="00191730" w:rsidRDefault="006102E8" w:rsidP="006102E8">
            <w:pPr>
              <w:rPr>
                <w:lang w:val="lv-LV"/>
              </w:rPr>
            </w:pPr>
            <w:r w:rsidRPr="00191730">
              <w:rPr>
                <w:b/>
                <w:bCs/>
                <w:lang w:val="lv-LV"/>
              </w:rPr>
              <w:lastRenderedPageBreak/>
              <w:t>Pētījuma pasūtītājs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60CCA2D" w14:textId="1345404B" w:rsidR="006102E8" w:rsidRPr="00191730" w:rsidRDefault="002324C1" w:rsidP="006102E8">
            <w:pPr>
              <w:rPr>
                <w:lang w:val="lv-LV"/>
              </w:rPr>
            </w:pPr>
            <w:r w:rsidRPr="00191730">
              <w:rPr>
                <w:lang w:val="lv-LV"/>
              </w:rPr>
              <w:t>Valsts Kanceleja</w:t>
            </w:r>
          </w:p>
        </w:tc>
      </w:tr>
      <w:tr w:rsidR="006102E8" w:rsidRPr="00191730" w14:paraId="7C51EA97"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C48CAA6" w14:textId="77777777" w:rsidR="006102E8" w:rsidRPr="00191730" w:rsidRDefault="006102E8" w:rsidP="006102E8">
            <w:pPr>
              <w:rPr>
                <w:lang w:val="lv-LV"/>
              </w:rPr>
            </w:pPr>
            <w:r w:rsidRPr="00191730">
              <w:rPr>
                <w:b/>
                <w:bCs/>
                <w:lang w:val="lv-LV"/>
              </w:rPr>
              <w:t>Pētījuma īstenotājs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F932DD3" w14:textId="6752804B" w:rsidR="006102E8" w:rsidRPr="00191730" w:rsidRDefault="006102E8" w:rsidP="006102E8">
            <w:pPr>
              <w:rPr>
                <w:lang w:val="lv-LV"/>
              </w:rPr>
            </w:pPr>
            <w:r w:rsidRPr="00191730">
              <w:rPr>
                <w:lang w:val="lv-LV"/>
              </w:rPr>
              <w:t> </w:t>
            </w:r>
            <w:r w:rsidR="00852EF2" w:rsidRPr="00191730">
              <w:rPr>
                <w:lang w:val="lv-LV"/>
              </w:rPr>
              <w:t>SIA “Civitta Latvija”</w:t>
            </w:r>
          </w:p>
        </w:tc>
      </w:tr>
      <w:tr w:rsidR="006102E8" w:rsidRPr="00191730" w14:paraId="6FB76AB6"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DA19545" w14:textId="77777777" w:rsidR="006102E8" w:rsidRPr="00191730" w:rsidRDefault="006102E8" w:rsidP="006102E8">
            <w:pPr>
              <w:rPr>
                <w:lang w:val="lv-LV"/>
              </w:rPr>
            </w:pPr>
            <w:r w:rsidRPr="00191730">
              <w:rPr>
                <w:b/>
                <w:bCs/>
                <w:lang w:val="lv-LV"/>
              </w:rPr>
              <w:t>Pētījuma īstenošanas gads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AE85FFD" w14:textId="0C1030D2" w:rsidR="006102E8" w:rsidRPr="00191730" w:rsidRDefault="006102E8" w:rsidP="006102E8">
            <w:pPr>
              <w:rPr>
                <w:lang w:val="lv-LV"/>
              </w:rPr>
            </w:pPr>
            <w:r w:rsidRPr="00191730">
              <w:rPr>
                <w:lang w:val="lv-LV"/>
              </w:rPr>
              <w:t> </w:t>
            </w:r>
            <w:r w:rsidR="00852EF2" w:rsidRPr="00191730">
              <w:rPr>
                <w:lang w:val="lv-LV"/>
              </w:rPr>
              <w:t>2025.</w:t>
            </w:r>
            <w:r w:rsidR="002324C1" w:rsidRPr="00191730">
              <w:rPr>
                <w:lang w:val="lv-LV"/>
              </w:rPr>
              <w:t xml:space="preserve"> – 2026.</w:t>
            </w:r>
            <w:r w:rsidR="00852EF2" w:rsidRPr="00191730">
              <w:rPr>
                <w:lang w:val="lv-LV"/>
              </w:rPr>
              <w:t xml:space="preserve"> gads</w:t>
            </w:r>
          </w:p>
        </w:tc>
      </w:tr>
      <w:tr w:rsidR="006102E8" w:rsidRPr="00191730" w14:paraId="21A74871"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A85C76B" w14:textId="77777777" w:rsidR="006102E8" w:rsidRPr="00191730" w:rsidRDefault="006102E8" w:rsidP="006102E8">
            <w:pPr>
              <w:rPr>
                <w:lang w:val="lv-LV"/>
              </w:rPr>
            </w:pPr>
            <w:r w:rsidRPr="00191730">
              <w:rPr>
                <w:b/>
                <w:bCs/>
                <w:lang w:val="lv-LV"/>
              </w:rPr>
              <w:t>Pētījuma finansēšanas summa un finansēšanas avots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9404517" w14:textId="25C0BC9F" w:rsidR="006102E8" w:rsidRPr="00191730" w:rsidRDefault="76504DD2" w:rsidP="006102E8">
            <w:pPr>
              <w:rPr>
                <w:lang w:val="lv-LV"/>
              </w:rPr>
            </w:pPr>
            <w:r w:rsidRPr="76504DD2">
              <w:rPr>
                <w:lang w:val="lv-LV"/>
              </w:rPr>
              <w:t xml:space="preserve">38 985,00 (trīsdesmit astoņi tūkstoši deviņi simti astoņdesmit pieci euro un 00 euro centi), neieskaitot pievienotās vērtības nodokli, finansēšanas avots ir valsts budžets </w:t>
            </w:r>
          </w:p>
        </w:tc>
      </w:tr>
      <w:tr w:rsidR="006102E8" w:rsidRPr="00191730" w14:paraId="55E45569"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992DCA9" w14:textId="059A2177" w:rsidR="006102E8" w:rsidRPr="00191730" w:rsidRDefault="006102E8" w:rsidP="006102E8">
            <w:pPr>
              <w:rPr>
                <w:lang w:val="lv-LV"/>
              </w:rPr>
            </w:pPr>
            <w:r w:rsidRPr="00191730">
              <w:rPr>
                <w:b/>
                <w:bCs/>
                <w:lang w:val="lv-LV"/>
              </w:rPr>
              <w:t>Pētījuma klasifikācija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280F6C" w14:textId="6A1ED1F2" w:rsidR="006102E8" w:rsidRPr="00191730" w:rsidRDefault="00852EF2" w:rsidP="006102E8">
            <w:pPr>
              <w:rPr>
                <w:lang w:val="lv-LV"/>
              </w:rPr>
            </w:pPr>
            <w:r w:rsidRPr="00191730">
              <w:rPr>
                <w:lang w:val="lv-LV"/>
              </w:rPr>
              <w:t>Padziļinātas ekspertīzes pētījumi politikas vai tiesiskā regulējuma izstrādei, politikas analīzei un ietekmes novērtēšanai</w:t>
            </w:r>
          </w:p>
        </w:tc>
      </w:tr>
      <w:tr w:rsidR="006102E8" w:rsidRPr="00191730" w14:paraId="09DC4FA5"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3AD794F" w14:textId="77777777" w:rsidR="006102E8" w:rsidRPr="00191730" w:rsidRDefault="006102E8" w:rsidP="006102E8">
            <w:pPr>
              <w:rPr>
                <w:lang w:val="lv-LV"/>
              </w:rPr>
            </w:pPr>
            <w:r w:rsidRPr="00191730">
              <w:rPr>
                <w:b/>
                <w:bCs/>
                <w:lang w:val="lv-LV"/>
              </w:rPr>
              <w:t>Pētījuma ģeogrāfiskais aptvērums</w:t>
            </w:r>
            <w:r w:rsidRPr="00191730">
              <w:rPr>
                <w:lang w:val="lv-LV"/>
              </w:rPr>
              <w:br/>
              <w:t>(visa Latvija vai noteikts reģions/novads)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113A637" w14:textId="13169EF2" w:rsidR="006102E8" w:rsidRPr="00191730" w:rsidRDefault="006102E8" w:rsidP="006102E8">
            <w:pPr>
              <w:rPr>
                <w:lang w:val="lv-LV"/>
              </w:rPr>
            </w:pPr>
            <w:r w:rsidRPr="00191730">
              <w:rPr>
                <w:lang w:val="lv-LV"/>
              </w:rPr>
              <w:t> </w:t>
            </w:r>
            <w:r w:rsidR="00852EF2" w:rsidRPr="00191730">
              <w:rPr>
                <w:lang w:val="lv-LV"/>
              </w:rPr>
              <w:t>Visa Latvija</w:t>
            </w:r>
          </w:p>
        </w:tc>
      </w:tr>
      <w:tr w:rsidR="006102E8" w:rsidRPr="00191730" w14:paraId="2AE08CAF"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3E8213D" w14:textId="77777777" w:rsidR="006102E8" w:rsidRPr="00191730" w:rsidRDefault="006102E8" w:rsidP="006102E8">
            <w:pPr>
              <w:rPr>
                <w:lang w:val="lv-LV"/>
              </w:rPr>
            </w:pPr>
            <w:r w:rsidRPr="00191730">
              <w:rPr>
                <w:b/>
                <w:bCs/>
                <w:lang w:val="lv-LV"/>
              </w:rPr>
              <w:t>Pētījuma mērķa grupa/-as</w:t>
            </w:r>
            <w:r w:rsidRPr="00191730">
              <w:rPr>
                <w:lang w:val="lv-LV"/>
              </w:rPr>
              <w:br/>
              <w:t>(piemēram, Latvijas iedzīvotāji darbspējas vecumā)</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8A4AAD2" w14:textId="1FDAD7BD" w:rsidR="00686E47" w:rsidRPr="00191730" w:rsidRDefault="00686E47" w:rsidP="00686E47">
            <w:pPr>
              <w:pStyle w:val="whitespace-normal"/>
              <w:rPr>
                <w:rFonts w:asciiTheme="minorHAnsi" w:eastAsiaTheme="minorHAnsi" w:hAnsiTheme="minorHAnsi" w:cstheme="minorBidi"/>
                <w:kern w:val="2"/>
                <w:lang w:val="lv-LV" w:eastAsia="en-US"/>
                <w14:ligatures w14:val="standardContextual"/>
              </w:rPr>
            </w:pPr>
            <w:r w:rsidRPr="00191730">
              <w:rPr>
                <w:rFonts w:asciiTheme="minorHAnsi" w:eastAsiaTheme="minorHAnsi" w:hAnsiTheme="minorHAnsi" w:cstheme="minorBidi"/>
                <w:kern w:val="2"/>
                <w:lang w:val="lv-LV" w:eastAsia="en-US"/>
                <w14:ligatures w14:val="standardContextual"/>
              </w:rPr>
              <w:t>VAM izglītojamie</w:t>
            </w:r>
          </w:p>
          <w:p w14:paraId="7B18E766" w14:textId="77777777" w:rsidR="00686E47" w:rsidRPr="00191730" w:rsidRDefault="00686E47" w:rsidP="00686E47">
            <w:pPr>
              <w:pStyle w:val="whitespace-normal"/>
              <w:rPr>
                <w:rFonts w:asciiTheme="minorHAnsi" w:eastAsiaTheme="minorHAnsi" w:hAnsiTheme="minorHAnsi" w:cstheme="minorBidi"/>
                <w:kern w:val="2"/>
                <w:lang w:val="lv-LV" w:eastAsia="en-US"/>
                <w14:ligatures w14:val="standardContextual"/>
              </w:rPr>
            </w:pPr>
            <w:r w:rsidRPr="00191730">
              <w:rPr>
                <w:rFonts w:asciiTheme="minorHAnsi" w:eastAsiaTheme="minorHAnsi" w:hAnsiTheme="minorHAnsi" w:cstheme="minorBidi"/>
                <w:kern w:val="2"/>
                <w:lang w:val="lv-LV" w:eastAsia="en-US"/>
                <w14:ligatures w14:val="standardContextual"/>
              </w:rPr>
              <w:t xml:space="preserve">Bērni un jaunieši, kuri apgūst jaunsargu interešu izglītības programmu (jaunsargi) </w:t>
            </w:r>
          </w:p>
          <w:p w14:paraId="37EB5BF2" w14:textId="6E10F853" w:rsidR="00686E47" w:rsidRPr="00191730" w:rsidRDefault="00686E47" w:rsidP="76504DD2">
            <w:pPr>
              <w:pStyle w:val="whitespace-normal"/>
              <w:rPr>
                <w:rFonts w:asciiTheme="minorHAnsi" w:eastAsiaTheme="minorEastAsia" w:hAnsiTheme="minorHAnsi" w:cstheme="minorBidi"/>
                <w:kern w:val="2"/>
                <w:lang w:val="lv-LV" w:eastAsia="en-US"/>
                <w14:ligatures w14:val="standardContextual"/>
              </w:rPr>
            </w:pPr>
            <w:r w:rsidRPr="76504DD2">
              <w:rPr>
                <w:rFonts w:asciiTheme="minorHAnsi" w:eastAsiaTheme="minorEastAsia" w:hAnsiTheme="minorHAnsi" w:cstheme="minorBidi"/>
                <w:kern w:val="2"/>
                <w:lang w:val="lv-LV" w:eastAsia="en-US"/>
                <w14:ligatures w14:val="standardContextual"/>
              </w:rPr>
              <w:lastRenderedPageBreak/>
              <w:t>Jaunsargu instruktori</w:t>
            </w:r>
          </w:p>
          <w:p w14:paraId="5B331FDD" w14:textId="38F47A53" w:rsidR="00686E47" w:rsidRPr="00191730" w:rsidRDefault="00686E47" w:rsidP="00686E47">
            <w:pPr>
              <w:pStyle w:val="whitespace-normal"/>
              <w:rPr>
                <w:rFonts w:asciiTheme="minorHAnsi" w:eastAsiaTheme="minorHAnsi" w:hAnsiTheme="minorHAnsi" w:cstheme="minorBidi"/>
                <w:kern w:val="2"/>
                <w:lang w:val="lv-LV" w:eastAsia="en-US"/>
                <w14:ligatures w14:val="standardContextual"/>
              </w:rPr>
            </w:pPr>
            <w:r w:rsidRPr="00191730">
              <w:rPr>
                <w:rFonts w:asciiTheme="minorHAnsi" w:eastAsiaTheme="minorHAnsi" w:hAnsiTheme="minorHAnsi" w:cstheme="minorBidi"/>
                <w:kern w:val="2"/>
                <w:lang w:val="lv-LV" w:eastAsia="en-US"/>
                <w14:ligatures w14:val="standardContextual"/>
              </w:rPr>
              <w:t xml:space="preserve">Izglītības iestādes un to dibinātāji </w:t>
            </w:r>
          </w:p>
          <w:p w14:paraId="70F628AA" w14:textId="2642F842" w:rsidR="00686E47" w:rsidRPr="00191730" w:rsidRDefault="00686E47" w:rsidP="00686E47">
            <w:pPr>
              <w:pStyle w:val="whitespace-normal"/>
              <w:rPr>
                <w:rFonts w:asciiTheme="minorHAnsi" w:eastAsiaTheme="minorHAnsi" w:hAnsiTheme="minorHAnsi" w:cstheme="minorBidi"/>
                <w:kern w:val="2"/>
                <w:lang w:val="lv-LV" w:eastAsia="en-US"/>
                <w14:ligatures w14:val="standardContextual"/>
              </w:rPr>
            </w:pPr>
            <w:r w:rsidRPr="00191730">
              <w:rPr>
                <w:rFonts w:asciiTheme="minorHAnsi" w:eastAsiaTheme="minorHAnsi" w:hAnsiTheme="minorHAnsi" w:cstheme="minorBidi"/>
                <w:kern w:val="2"/>
                <w:lang w:val="lv-LV" w:eastAsia="en-US"/>
                <w14:ligatures w14:val="standardContextual"/>
              </w:rPr>
              <w:t>VAM un jaunsargu programmas īstenošanā un uzraudzībā iesaistītās iestādes</w:t>
            </w:r>
          </w:p>
          <w:p w14:paraId="5B50191E" w14:textId="57FCCF2C" w:rsidR="006102E8" w:rsidRPr="00191730" w:rsidRDefault="006102E8" w:rsidP="006102E8">
            <w:pPr>
              <w:rPr>
                <w:lang w:val="lv-LV"/>
              </w:rPr>
            </w:pPr>
          </w:p>
        </w:tc>
      </w:tr>
      <w:tr w:rsidR="006102E8" w:rsidRPr="00191730" w14:paraId="232F6C09"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381E7ED" w14:textId="77777777" w:rsidR="006102E8" w:rsidRPr="00191730" w:rsidRDefault="006102E8" w:rsidP="006102E8">
            <w:pPr>
              <w:rPr>
                <w:lang w:val="lv-LV"/>
              </w:rPr>
            </w:pPr>
            <w:r w:rsidRPr="00191730">
              <w:rPr>
                <w:b/>
                <w:bCs/>
                <w:lang w:val="lv-LV"/>
              </w:rPr>
              <w:lastRenderedPageBreak/>
              <w:t>Pētījumā izmantotās metodes atbilstoši informācijas ieguves veidam:</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9AB141D" w14:textId="77777777" w:rsidR="006102E8" w:rsidRPr="00191730" w:rsidRDefault="006102E8" w:rsidP="006102E8">
            <w:pPr>
              <w:rPr>
                <w:lang w:val="lv-LV"/>
              </w:rPr>
            </w:pPr>
            <w:r w:rsidRPr="00191730">
              <w:rPr>
                <w:lang w:val="lv-LV"/>
              </w:rPr>
              <w:t> </w:t>
            </w:r>
          </w:p>
        </w:tc>
      </w:tr>
      <w:tr w:rsidR="006102E8" w:rsidRPr="00191730" w14:paraId="5C035A05"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6D506464"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40284956" w14:textId="77777777" w:rsidR="006102E8" w:rsidRPr="00191730" w:rsidRDefault="006102E8" w:rsidP="006102E8">
            <w:pPr>
              <w:rPr>
                <w:lang w:val="lv-LV"/>
              </w:rPr>
            </w:pPr>
            <w:r w:rsidRPr="00191730">
              <w:rPr>
                <w:lang w:val="lv-LV"/>
              </w:rPr>
              <w:t>1) tiesību aktu vai politikas plānošanas dokumentu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924F91" w14:textId="6757759C" w:rsidR="006102E8" w:rsidRPr="00191730" w:rsidRDefault="006102E8" w:rsidP="006102E8">
            <w:pPr>
              <w:rPr>
                <w:lang w:val="lv-LV"/>
              </w:rPr>
            </w:pPr>
            <w:r w:rsidRPr="00191730">
              <w:rPr>
                <w:lang w:val="lv-LV"/>
              </w:rPr>
              <w:t> </w:t>
            </w:r>
            <w:r w:rsidR="00852EF2" w:rsidRPr="00191730">
              <w:rPr>
                <w:lang w:val="lv-LV"/>
              </w:rPr>
              <w:t>X</w:t>
            </w:r>
          </w:p>
        </w:tc>
      </w:tr>
      <w:tr w:rsidR="006102E8" w:rsidRPr="00191730" w14:paraId="0877999C"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07A164AF"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55A05282" w14:textId="77777777" w:rsidR="006102E8" w:rsidRPr="00191730" w:rsidRDefault="006102E8" w:rsidP="006102E8">
            <w:pPr>
              <w:rPr>
                <w:lang w:val="lv-LV"/>
              </w:rPr>
            </w:pPr>
            <w:r w:rsidRPr="00191730">
              <w:rPr>
                <w:lang w:val="lv-LV"/>
              </w:rPr>
              <w:t>2) statistikas datu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8A2344" w14:textId="2147D6B6" w:rsidR="006102E8" w:rsidRPr="00191730" w:rsidRDefault="006102E8" w:rsidP="006102E8">
            <w:pPr>
              <w:rPr>
                <w:lang w:val="lv-LV"/>
              </w:rPr>
            </w:pPr>
            <w:r w:rsidRPr="00191730">
              <w:rPr>
                <w:lang w:val="lv-LV"/>
              </w:rPr>
              <w:t> </w:t>
            </w:r>
            <w:r w:rsidR="00852EF2" w:rsidRPr="00191730">
              <w:rPr>
                <w:lang w:val="lv-LV"/>
              </w:rPr>
              <w:t>X</w:t>
            </w:r>
          </w:p>
        </w:tc>
      </w:tr>
      <w:tr w:rsidR="006102E8" w:rsidRPr="00191730" w14:paraId="1BA1D1B3"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6F4CA819"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6AD9C147" w14:textId="77777777" w:rsidR="006102E8" w:rsidRPr="00191730" w:rsidRDefault="006102E8" w:rsidP="006102E8">
            <w:pPr>
              <w:rPr>
                <w:lang w:val="lv-LV"/>
              </w:rPr>
            </w:pPr>
            <w:r w:rsidRPr="00191730">
              <w:rPr>
                <w:lang w:val="lv-LV"/>
              </w:rPr>
              <w:t>3) esošo pētījumu datu sekundārā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ED8BB9A" w14:textId="5C04D351" w:rsidR="006102E8" w:rsidRPr="00191730" w:rsidRDefault="006102E8" w:rsidP="006102E8">
            <w:pPr>
              <w:rPr>
                <w:lang w:val="lv-LV"/>
              </w:rPr>
            </w:pPr>
            <w:r w:rsidRPr="00191730">
              <w:rPr>
                <w:lang w:val="lv-LV"/>
              </w:rPr>
              <w:t> </w:t>
            </w:r>
            <w:r w:rsidR="00852EF2" w:rsidRPr="00191730">
              <w:rPr>
                <w:lang w:val="lv-LV"/>
              </w:rPr>
              <w:t>X</w:t>
            </w:r>
          </w:p>
        </w:tc>
      </w:tr>
      <w:tr w:rsidR="006102E8" w:rsidRPr="00191730" w14:paraId="4FF1EB2F"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29F66FD5"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6E2D13DF" w14:textId="77777777" w:rsidR="006102E8" w:rsidRPr="00191730" w:rsidRDefault="006102E8" w:rsidP="006102E8">
            <w:pPr>
              <w:rPr>
                <w:lang w:val="lv-LV"/>
              </w:rPr>
            </w:pPr>
            <w:r w:rsidRPr="00191730">
              <w:rPr>
                <w:lang w:val="lv-LV"/>
              </w:rPr>
              <w:t>4) padziļināto/ekspertu interviju veikšana un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603584" w14:textId="402BA40A" w:rsidR="006102E8" w:rsidRPr="00191730" w:rsidRDefault="006102E8" w:rsidP="006102E8">
            <w:pPr>
              <w:rPr>
                <w:lang w:val="lv-LV"/>
              </w:rPr>
            </w:pPr>
            <w:r w:rsidRPr="00191730">
              <w:rPr>
                <w:lang w:val="lv-LV"/>
              </w:rPr>
              <w:t> </w:t>
            </w:r>
            <w:r w:rsidR="00852EF2" w:rsidRPr="00191730">
              <w:rPr>
                <w:lang w:val="lv-LV"/>
              </w:rPr>
              <w:t>X</w:t>
            </w:r>
          </w:p>
        </w:tc>
      </w:tr>
      <w:tr w:rsidR="006102E8" w:rsidRPr="00191730" w14:paraId="644C5CC1"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0ED848F0"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1A72D104" w14:textId="77777777" w:rsidR="006102E8" w:rsidRPr="00191730" w:rsidRDefault="006102E8" w:rsidP="006102E8">
            <w:pPr>
              <w:rPr>
                <w:lang w:val="lv-LV"/>
              </w:rPr>
            </w:pPr>
            <w:r w:rsidRPr="00191730">
              <w:rPr>
                <w:lang w:val="lv-LV"/>
              </w:rPr>
              <w:t>5) fokusa grupu diskusiju veikšana un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1C95846" w14:textId="2A35F282" w:rsidR="006102E8" w:rsidRPr="00191730" w:rsidRDefault="006102E8" w:rsidP="006102E8">
            <w:pPr>
              <w:rPr>
                <w:lang w:val="lv-LV"/>
              </w:rPr>
            </w:pPr>
            <w:r w:rsidRPr="00191730">
              <w:rPr>
                <w:lang w:val="lv-LV"/>
              </w:rPr>
              <w:t> </w:t>
            </w:r>
            <w:r w:rsidR="00686E47" w:rsidRPr="00191730">
              <w:rPr>
                <w:lang w:val="lv-LV"/>
              </w:rPr>
              <w:t>X</w:t>
            </w:r>
          </w:p>
        </w:tc>
      </w:tr>
      <w:tr w:rsidR="006102E8" w:rsidRPr="00191730" w14:paraId="62BD3773"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608F4475"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73422F5E" w14:textId="77777777" w:rsidR="006102E8" w:rsidRPr="00191730" w:rsidRDefault="006102E8" w:rsidP="006102E8">
            <w:pPr>
              <w:rPr>
                <w:lang w:val="lv-LV"/>
              </w:rPr>
            </w:pPr>
            <w:r w:rsidRPr="00191730">
              <w:rPr>
                <w:lang w:val="lv-LV"/>
              </w:rPr>
              <w:t>6) gadījumu izpēte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D201472" w14:textId="77777777" w:rsidR="006102E8" w:rsidRPr="00191730" w:rsidRDefault="006102E8" w:rsidP="006102E8">
            <w:pPr>
              <w:rPr>
                <w:lang w:val="lv-LV"/>
              </w:rPr>
            </w:pPr>
            <w:r w:rsidRPr="00191730">
              <w:rPr>
                <w:lang w:val="lv-LV"/>
              </w:rPr>
              <w:t> </w:t>
            </w:r>
          </w:p>
        </w:tc>
      </w:tr>
      <w:tr w:rsidR="006102E8" w:rsidRPr="00191730" w14:paraId="70396A6D"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10050F0C"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2D1EF1CA" w14:textId="77777777" w:rsidR="006102E8" w:rsidRPr="00191730" w:rsidRDefault="006102E8" w:rsidP="006102E8">
            <w:pPr>
              <w:rPr>
                <w:lang w:val="lv-LV"/>
              </w:rPr>
            </w:pPr>
            <w:r w:rsidRPr="00191730">
              <w:rPr>
                <w:lang w:val="lv-LV"/>
              </w:rPr>
              <w:t>7) kvantitatīvās aptaujas veikšana un datu analīze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72E8F3A" w14:textId="6540F6C3" w:rsidR="006102E8" w:rsidRPr="00191730" w:rsidRDefault="006102E8" w:rsidP="006102E8">
            <w:pPr>
              <w:rPr>
                <w:lang w:val="lv-LV"/>
              </w:rPr>
            </w:pPr>
            <w:r w:rsidRPr="00191730">
              <w:rPr>
                <w:lang w:val="lv-LV"/>
              </w:rPr>
              <w:t> </w:t>
            </w:r>
            <w:r w:rsidR="00852EF2" w:rsidRPr="00191730">
              <w:rPr>
                <w:lang w:val="lv-LV"/>
              </w:rPr>
              <w:t>X</w:t>
            </w:r>
          </w:p>
        </w:tc>
      </w:tr>
      <w:tr w:rsidR="006102E8" w:rsidRPr="00191730" w14:paraId="0BBEF0C4"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65B4C6F0"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6340E264" w14:textId="77777777" w:rsidR="006102E8" w:rsidRPr="00191730" w:rsidRDefault="006102E8" w:rsidP="006102E8">
            <w:pPr>
              <w:rPr>
                <w:lang w:val="lv-LV"/>
              </w:rPr>
            </w:pPr>
            <w:r w:rsidRPr="00191730">
              <w:rPr>
                <w:lang w:val="lv-LV"/>
              </w:rPr>
              <w:t>8) citas metodes (norādīt, kādas)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B3A042C" w14:textId="77777777" w:rsidR="006102E8" w:rsidRPr="00191730" w:rsidRDefault="006102E8" w:rsidP="006102E8">
            <w:pPr>
              <w:rPr>
                <w:lang w:val="lv-LV"/>
              </w:rPr>
            </w:pPr>
            <w:r w:rsidRPr="00191730">
              <w:rPr>
                <w:lang w:val="lv-LV"/>
              </w:rPr>
              <w:t> </w:t>
            </w:r>
          </w:p>
        </w:tc>
      </w:tr>
      <w:tr w:rsidR="006102E8" w:rsidRPr="00191730" w14:paraId="66E34E53"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7274E72" w14:textId="77777777" w:rsidR="006102E8" w:rsidRPr="00191730" w:rsidRDefault="006102E8" w:rsidP="006102E8">
            <w:pPr>
              <w:rPr>
                <w:lang w:val="lv-LV"/>
              </w:rPr>
            </w:pPr>
            <w:r w:rsidRPr="00191730">
              <w:rPr>
                <w:b/>
                <w:bCs/>
                <w:lang w:val="lv-LV"/>
              </w:rPr>
              <w:t>Kvantitatīvās pētījuma metodes</w:t>
            </w:r>
            <w:r w:rsidRPr="00191730">
              <w:rPr>
                <w:lang w:val="lv-LV"/>
              </w:rPr>
              <w:br/>
              <w:t>(ja attiecināms):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9F92A93" w14:textId="77777777" w:rsidR="006102E8" w:rsidRPr="00191730" w:rsidRDefault="006102E8" w:rsidP="006102E8">
            <w:pPr>
              <w:rPr>
                <w:lang w:val="lv-LV"/>
              </w:rPr>
            </w:pPr>
            <w:r w:rsidRPr="00191730">
              <w:rPr>
                <w:lang w:val="lv-LV"/>
              </w:rPr>
              <w:t> </w:t>
            </w:r>
          </w:p>
        </w:tc>
      </w:tr>
      <w:tr w:rsidR="006102E8" w:rsidRPr="00191730" w14:paraId="438E63E5"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3940A8FC" w14:textId="77777777" w:rsidR="006102E8" w:rsidRPr="00191730" w:rsidRDefault="006102E8" w:rsidP="006102E8">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009F956E" w14:textId="77777777" w:rsidR="006102E8" w:rsidRPr="00191730" w:rsidRDefault="006102E8" w:rsidP="006102E8">
            <w:pPr>
              <w:rPr>
                <w:lang w:val="lv-LV"/>
              </w:rPr>
            </w:pPr>
            <w:r w:rsidRPr="00191730">
              <w:rPr>
                <w:lang w:val="lv-LV"/>
              </w:rPr>
              <w:t>1) aptaujas izlases metode</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A4F8685" w14:textId="30608C40" w:rsidR="006102E8" w:rsidRPr="00191730" w:rsidRDefault="006102E8" w:rsidP="006102E8">
            <w:pPr>
              <w:rPr>
                <w:lang w:val="lv-LV"/>
              </w:rPr>
            </w:pPr>
            <w:r w:rsidRPr="00191730">
              <w:rPr>
                <w:lang w:val="lv-LV"/>
              </w:rPr>
              <w:t> </w:t>
            </w:r>
            <w:r w:rsidR="00B107CD" w:rsidRPr="00191730">
              <w:rPr>
                <w:lang w:val="lv-LV"/>
              </w:rPr>
              <w:t>1. VAM izglītojamo aptaujas anketa (</w:t>
            </w:r>
            <w:proofErr w:type="spellStart"/>
            <w:r w:rsidR="00B107CD" w:rsidRPr="00191730">
              <w:rPr>
                <w:lang w:val="lv-LV"/>
              </w:rPr>
              <w:t>Omnibus</w:t>
            </w:r>
            <w:proofErr w:type="spellEnd"/>
            <w:r w:rsidR="00B107CD" w:rsidRPr="00191730">
              <w:rPr>
                <w:lang w:val="lv-LV"/>
              </w:rPr>
              <w:t xml:space="preserve"> (paneļa izlase) un </w:t>
            </w:r>
            <w:r w:rsidR="004079A6" w:rsidRPr="00191730">
              <w:rPr>
                <w:lang w:val="lv-LV"/>
              </w:rPr>
              <w:t>elektroniski izsūtīta aptauja caur izglītības iestādēm)</w:t>
            </w:r>
          </w:p>
          <w:p w14:paraId="4CA886D1" w14:textId="4FA024AA" w:rsidR="007F20DC" w:rsidRPr="00191730" w:rsidRDefault="007F20DC" w:rsidP="006102E8">
            <w:pPr>
              <w:rPr>
                <w:lang w:val="lv-LV"/>
              </w:rPr>
            </w:pPr>
            <w:r w:rsidRPr="00191730">
              <w:rPr>
                <w:lang w:val="lv-LV"/>
              </w:rPr>
              <w:t>2. Jaunsargu aptaujas anketa</w:t>
            </w:r>
            <w:r w:rsidR="00573ACA" w:rsidRPr="00191730">
              <w:rPr>
                <w:lang w:val="lv-LV"/>
              </w:rPr>
              <w:t xml:space="preserve"> (</w:t>
            </w:r>
            <w:r w:rsidR="004079A6" w:rsidRPr="00191730">
              <w:rPr>
                <w:lang w:val="lv-LV"/>
              </w:rPr>
              <w:t>Elektroniski izsūtīta aptauja caur jaunsargu instruktoriem)</w:t>
            </w:r>
          </w:p>
          <w:p w14:paraId="05345430" w14:textId="6D30AF4A" w:rsidR="007F20DC" w:rsidRPr="00191730" w:rsidRDefault="007F20DC" w:rsidP="006102E8">
            <w:pPr>
              <w:rPr>
                <w:lang w:val="lv-LV"/>
              </w:rPr>
            </w:pPr>
            <w:r w:rsidRPr="00191730">
              <w:rPr>
                <w:lang w:val="lv-LV"/>
              </w:rPr>
              <w:t>3. Izglītības iestāžu aptauja (Visas pamata un vidējās izglītības iestādes Latvijā)</w:t>
            </w:r>
          </w:p>
        </w:tc>
      </w:tr>
      <w:tr w:rsidR="0045445B" w:rsidRPr="00191730" w14:paraId="4E791138"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489B1ED7" w14:textId="77777777" w:rsidR="0045445B" w:rsidRPr="00191730" w:rsidRDefault="0045445B" w:rsidP="0045445B">
            <w:pPr>
              <w:rPr>
                <w:lang w:val="lv-LV"/>
              </w:rPr>
            </w:pPr>
            <w:r w:rsidRPr="00191730">
              <w:rPr>
                <w:lang w:val="lv-LV"/>
              </w:rPr>
              <w:lastRenderedPageBreak/>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01FB061C" w14:textId="77777777" w:rsidR="0045445B" w:rsidRPr="00191730" w:rsidRDefault="0045445B" w:rsidP="0045445B">
            <w:pPr>
              <w:rPr>
                <w:lang w:val="lv-LV"/>
              </w:rPr>
            </w:pPr>
            <w:r w:rsidRPr="00191730">
              <w:rPr>
                <w:lang w:val="lv-LV"/>
              </w:rPr>
              <w:t>2) aptaujāto/anketēto respondentu/vienību skaits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0ACA43E" w14:textId="22E18794" w:rsidR="0045445B" w:rsidRPr="00191730" w:rsidRDefault="0045445B" w:rsidP="0045445B">
            <w:pPr>
              <w:rPr>
                <w:lang w:val="lv-LV"/>
              </w:rPr>
            </w:pPr>
            <w:r w:rsidRPr="00191730">
              <w:rPr>
                <w:lang w:val="lv-LV"/>
              </w:rPr>
              <w:t xml:space="preserve"> 1. VAM izglītojamo aptaujas anketa: 2205 </w:t>
            </w:r>
          </w:p>
          <w:p w14:paraId="7A25840F" w14:textId="797A58A4" w:rsidR="0045445B" w:rsidRPr="00191730" w:rsidRDefault="0045445B" w:rsidP="0045445B">
            <w:pPr>
              <w:rPr>
                <w:lang w:val="lv-LV"/>
              </w:rPr>
            </w:pPr>
            <w:r w:rsidRPr="00191730">
              <w:rPr>
                <w:lang w:val="lv-LV"/>
              </w:rPr>
              <w:t>2. Jaunsargu aptaujas anketa: 644</w:t>
            </w:r>
          </w:p>
          <w:p w14:paraId="16261825" w14:textId="1D975C31" w:rsidR="0045445B" w:rsidRPr="00191730" w:rsidRDefault="0045445B" w:rsidP="0045445B">
            <w:pPr>
              <w:rPr>
                <w:lang w:val="lv-LV"/>
              </w:rPr>
            </w:pPr>
            <w:r w:rsidRPr="00191730">
              <w:rPr>
                <w:lang w:val="lv-LV"/>
              </w:rPr>
              <w:t>3. Izglītības iestāžu aptauja: 198</w:t>
            </w:r>
          </w:p>
        </w:tc>
      </w:tr>
      <w:tr w:rsidR="0045445B" w:rsidRPr="00191730" w14:paraId="2B3599CC"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59670A8" w14:textId="77777777" w:rsidR="0045445B" w:rsidRPr="00191730" w:rsidRDefault="0045445B" w:rsidP="0045445B">
            <w:pPr>
              <w:rPr>
                <w:lang w:val="lv-LV"/>
              </w:rPr>
            </w:pPr>
            <w:r w:rsidRPr="00191730">
              <w:rPr>
                <w:b/>
                <w:bCs/>
                <w:lang w:val="lv-LV"/>
              </w:rPr>
              <w:t>Kvalitatīvās pētījuma metodes</w:t>
            </w:r>
            <w:r w:rsidRPr="00191730">
              <w:rPr>
                <w:lang w:val="lv-LV"/>
              </w:rPr>
              <w:br/>
              <w:t>(ja attiecināms):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76C924E" w14:textId="77777777" w:rsidR="0045445B" w:rsidRPr="00191730" w:rsidRDefault="0045445B" w:rsidP="0045445B">
            <w:pPr>
              <w:rPr>
                <w:lang w:val="lv-LV"/>
              </w:rPr>
            </w:pPr>
            <w:r w:rsidRPr="00191730">
              <w:rPr>
                <w:lang w:val="lv-LV"/>
              </w:rPr>
              <w:t> </w:t>
            </w:r>
          </w:p>
        </w:tc>
      </w:tr>
      <w:tr w:rsidR="0045445B" w:rsidRPr="00191730" w14:paraId="3AEF7B1D"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4259EA52" w14:textId="77777777" w:rsidR="0045445B" w:rsidRPr="00191730" w:rsidRDefault="0045445B" w:rsidP="0045445B">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0E7F2302" w14:textId="77777777" w:rsidR="0045445B" w:rsidRPr="00191730" w:rsidRDefault="0045445B" w:rsidP="0045445B">
            <w:pPr>
              <w:rPr>
                <w:lang w:val="lv-LV"/>
              </w:rPr>
            </w:pPr>
            <w:r w:rsidRPr="00191730">
              <w:rPr>
                <w:lang w:val="lv-LV"/>
              </w:rPr>
              <w:t>1) padziļināto/ekspertu interviju skaits (ja attiecināms)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63D0006" w14:textId="435C7BBE" w:rsidR="0045445B" w:rsidRPr="00191730" w:rsidRDefault="0045445B" w:rsidP="0045445B">
            <w:pPr>
              <w:rPr>
                <w:lang w:val="lv-LV"/>
              </w:rPr>
            </w:pPr>
            <w:r w:rsidRPr="00191730">
              <w:rPr>
                <w:lang w:val="lv-LV"/>
              </w:rPr>
              <w:t>Interviju skaits ir 3</w:t>
            </w:r>
            <w:r w:rsidR="00EE56C8">
              <w:rPr>
                <w:lang w:val="lv-LV"/>
              </w:rPr>
              <w:t>3</w:t>
            </w:r>
          </w:p>
          <w:p w14:paraId="3E6EC7B0" w14:textId="58D5790D" w:rsidR="0045445B" w:rsidRPr="00191730" w:rsidRDefault="0045445B" w:rsidP="0045445B">
            <w:pPr>
              <w:rPr>
                <w:lang w:val="lv-LV"/>
              </w:rPr>
            </w:pPr>
            <w:r w:rsidRPr="00191730">
              <w:rPr>
                <w:lang w:val="lv-LV"/>
              </w:rPr>
              <w:t xml:space="preserve">Grupu interviju skaits ir </w:t>
            </w:r>
            <w:r w:rsidR="00EE56C8">
              <w:rPr>
                <w:lang w:val="lv-LV"/>
              </w:rPr>
              <w:t>2</w:t>
            </w:r>
          </w:p>
        </w:tc>
      </w:tr>
      <w:tr w:rsidR="0045445B" w:rsidRPr="00191730" w14:paraId="699F3F8F" w14:textId="77777777" w:rsidTr="76504DD2">
        <w:tc>
          <w:tcPr>
            <w:tcW w:w="300" w:type="pct"/>
            <w:tcBorders>
              <w:top w:val="outset" w:sz="6" w:space="0" w:color="414142"/>
              <w:left w:val="outset" w:sz="6" w:space="0" w:color="414142"/>
              <w:bottom w:val="outset" w:sz="6" w:space="0" w:color="414142"/>
              <w:right w:val="nil"/>
            </w:tcBorders>
            <w:shd w:val="clear" w:color="auto" w:fill="FFFFFF" w:themeFill="background1"/>
            <w:hideMark/>
          </w:tcPr>
          <w:p w14:paraId="1052C8A7" w14:textId="77777777" w:rsidR="0045445B" w:rsidRPr="00191730" w:rsidRDefault="0045445B" w:rsidP="0045445B">
            <w:pPr>
              <w:rPr>
                <w:lang w:val="lv-LV"/>
              </w:rPr>
            </w:pPr>
            <w:r w:rsidRPr="00191730">
              <w:rPr>
                <w:lang w:val="lv-LV"/>
              </w:rPr>
              <w:t> </w:t>
            </w:r>
          </w:p>
        </w:tc>
        <w:tc>
          <w:tcPr>
            <w:tcW w:w="2200" w:type="pct"/>
            <w:tcBorders>
              <w:top w:val="outset" w:sz="6" w:space="0" w:color="414142"/>
              <w:left w:val="nil"/>
              <w:bottom w:val="outset" w:sz="6" w:space="0" w:color="414142"/>
              <w:right w:val="outset" w:sz="6" w:space="0" w:color="414142"/>
            </w:tcBorders>
            <w:shd w:val="clear" w:color="auto" w:fill="FFFFFF" w:themeFill="background1"/>
            <w:hideMark/>
          </w:tcPr>
          <w:p w14:paraId="52E85C39" w14:textId="77777777" w:rsidR="0045445B" w:rsidRPr="00191730" w:rsidRDefault="0045445B" w:rsidP="0045445B">
            <w:pPr>
              <w:rPr>
                <w:lang w:val="lv-LV"/>
              </w:rPr>
            </w:pPr>
            <w:r w:rsidRPr="00191730">
              <w:rPr>
                <w:lang w:val="lv-LV"/>
              </w:rPr>
              <w:t>2) fokusa grupu diskusiju skaits (ja attiecināms)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726E155" w14:textId="5E4FC56C" w:rsidR="0045445B" w:rsidRPr="00191730" w:rsidRDefault="0045445B" w:rsidP="0045445B">
            <w:pPr>
              <w:rPr>
                <w:lang w:val="lv-LV"/>
              </w:rPr>
            </w:pPr>
            <w:r w:rsidRPr="00191730">
              <w:rPr>
                <w:lang w:val="lv-LV"/>
              </w:rPr>
              <w:t xml:space="preserve"> Fokusa grupas </w:t>
            </w:r>
            <w:r w:rsidR="00EE56C8">
              <w:rPr>
                <w:lang w:val="lv-LV"/>
              </w:rPr>
              <w:t>diskusiju</w:t>
            </w:r>
            <w:r w:rsidRPr="00191730">
              <w:rPr>
                <w:lang w:val="lv-LV"/>
              </w:rPr>
              <w:t xml:space="preserve"> skaits ir 4 </w:t>
            </w:r>
          </w:p>
        </w:tc>
      </w:tr>
      <w:tr w:rsidR="0045445B" w:rsidRPr="00191730" w14:paraId="092957A7"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D564E4F" w14:textId="77777777" w:rsidR="0045445B" w:rsidRPr="00191730" w:rsidRDefault="0045445B" w:rsidP="0045445B">
            <w:pPr>
              <w:rPr>
                <w:lang w:val="lv-LV"/>
              </w:rPr>
            </w:pPr>
            <w:r w:rsidRPr="00191730">
              <w:rPr>
                <w:b/>
                <w:bCs/>
                <w:lang w:val="lv-LV"/>
              </w:rPr>
              <w:t>Izmantotās analīzes grupas (griezumi)</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306DBC2" w14:textId="45AE33B1" w:rsidR="0045445B" w:rsidRPr="00191730" w:rsidRDefault="0045445B" w:rsidP="0045445B">
            <w:pPr>
              <w:rPr>
                <w:lang w:val="lv-LV"/>
              </w:rPr>
            </w:pPr>
            <w:r w:rsidRPr="00191730">
              <w:rPr>
                <w:lang w:val="lv-LV"/>
              </w:rPr>
              <w:t>Reģions,</w:t>
            </w:r>
            <w:r w:rsidR="00C2422B" w:rsidRPr="00191730">
              <w:rPr>
                <w:lang w:val="lv-LV"/>
              </w:rPr>
              <w:t xml:space="preserve"> </w:t>
            </w:r>
            <w:r w:rsidR="00510C27" w:rsidRPr="00191730">
              <w:rPr>
                <w:lang w:val="lv-LV"/>
              </w:rPr>
              <w:t xml:space="preserve">dzīvesvieta pēc apdzīvotas vietas tipa, dzimums, </w:t>
            </w:r>
            <w:r w:rsidRPr="00191730">
              <w:rPr>
                <w:lang w:val="lv-LV"/>
              </w:rPr>
              <w:t>valoda, kādu izmanto saziņai ģimenē (latviešu vai cita)</w:t>
            </w:r>
            <w:r w:rsidR="00510C27" w:rsidRPr="00191730">
              <w:rPr>
                <w:lang w:val="lv-LV"/>
              </w:rPr>
              <w:t>, izglītības iestādes tips</w:t>
            </w:r>
            <w:r w:rsidR="00613EB9" w:rsidRPr="00191730">
              <w:rPr>
                <w:lang w:val="lv-LV"/>
              </w:rPr>
              <w:t>, izglītības iestādēm – vai ieviesa VAM brīvprātīgi</w:t>
            </w:r>
          </w:p>
        </w:tc>
      </w:tr>
      <w:tr w:rsidR="0045445B" w:rsidRPr="00191730" w14:paraId="3A31CBAB" w14:textId="77777777" w:rsidTr="76504DD2">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21461A9" w14:textId="77777777" w:rsidR="0045445B" w:rsidRPr="00191730" w:rsidRDefault="0045445B" w:rsidP="0045445B">
            <w:pPr>
              <w:rPr>
                <w:lang w:val="lv-LV"/>
              </w:rPr>
            </w:pPr>
            <w:r w:rsidRPr="00191730">
              <w:rPr>
                <w:b/>
                <w:bCs/>
                <w:lang w:val="lv-LV"/>
              </w:rPr>
              <w:t>Pētījuma pasūtītāja kontaktinformācija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2F34884" w14:textId="72841C52" w:rsidR="0045445B" w:rsidRPr="00191730" w:rsidRDefault="00C2422B" w:rsidP="0045445B">
            <w:pPr>
              <w:rPr>
                <w:lang w:val="lv-LV"/>
              </w:rPr>
            </w:pPr>
            <w:r w:rsidRPr="00191730">
              <w:rPr>
                <w:lang w:val="lv-LV"/>
              </w:rPr>
              <w:t xml:space="preserve">Valsts kancelejas Valsts pārvaldes politikas departamenta konsultante Indra Ciukša, tālrunis (+371) </w:t>
            </w:r>
            <w:r w:rsidR="00552B93">
              <w:rPr>
                <w:lang w:val="lv-LV"/>
              </w:rPr>
              <w:t>67082</w:t>
            </w:r>
            <w:r w:rsidR="007E1787">
              <w:rPr>
                <w:lang w:val="lv-LV"/>
              </w:rPr>
              <w:t>830</w:t>
            </w:r>
            <w:r w:rsidRPr="00191730">
              <w:rPr>
                <w:lang w:val="lv-LV"/>
              </w:rPr>
              <w:t xml:space="preserve">, e-pasts: </w:t>
            </w:r>
            <w:hyperlink r:id="rId5" w:history="1">
              <w:r w:rsidRPr="00191730">
                <w:rPr>
                  <w:rStyle w:val="Hyperlink"/>
                  <w:lang w:val="lv-LV"/>
                </w:rPr>
                <w:t>indra.ciuksa@mk.gov.lv</w:t>
              </w:r>
            </w:hyperlink>
          </w:p>
        </w:tc>
      </w:tr>
      <w:tr w:rsidR="0045445B" w:rsidRPr="00191730" w14:paraId="079199A3" w14:textId="77777777" w:rsidTr="76504DD2">
        <w:trPr>
          <w:trHeight w:val="260"/>
        </w:trPr>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35F1F30" w14:textId="77777777" w:rsidR="0045445B" w:rsidRPr="00191730" w:rsidRDefault="0045445B" w:rsidP="0045445B">
            <w:pPr>
              <w:rPr>
                <w:lang w:val="lv-LV"/>
              </w:rPr>
            </w:pPr>
            <w:r w:rsidRPr="00191730">
              <w:rPr>
                <w:b/>
                <w:bCs/>
                <w:lang w:val="lv-LV"/>
              </w:rPr>
              <w:t>Pētījuma autori** (autortiesību subjekti)</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33C3388" w14:textId="1AA1E49E" w:rsidR="0045445B" w:rsidRPr="00191730" w:rsidRDefault="0045445B" w:rsidP="0045445B">
            <w:pPr>
              <w:rPr>
                <w:lang w:val="lv-LV"/>
              </w:rPr>
            </w:pPr>
            <w:r w:rsidRPr="00191730">
              <w:rPr>
                <w:lang w:val="lv-LV"/>
              </w:rPr>
              <w:t xml:space="preserve">Santa Barone-Upeniece, Ingvilda Štrāla, </w:t>
            </w:r>
            <w:r w:rsidR="00A748C2" w:rsidRPr="00191730">
              <w:rPr>
                <w:lang w:val="lv-LV"/>
              </w:rPr>
              <w:t xml:space="preserve">Elza </w:t>
            </w:r>
            <w:proofErr w:type="spellStart"/>
            <w:r w:rsidR="00A748C2" w:rsidRPr="00191730">
              <w:rPr>
                <w:lang w:val="lv-LV"/>
              </w:rPr>
              <w:t>Marcinkeviča</w:t>
            </w:r>
            <w:proofErr w:type="spellEnd"/>
            <w:r w:rsidRPr="00191730">
              <w:rPr>
                <w:lang w:val="lv-LV"/>
              </w:rPr>
              <w:t xml:space="preserve">, Mārtiņš </w:t>
            </w:r>
            <w:proofErr w:type="spellStart"/>
            <w:r w:rsidRPr="00191730">
              <w:rPr>
                <w:lang w:val="lv-LV"/>
              </w:rPr>
              <w:t>Kaprāns</w:t>
            </w:r>
            <w:proofErr w:type="spellEnd"/>
            <w:r w:rsidR="00A748C2" w:rsidRPr="00191730">
              <w:rPr>
                <w:lang w:val="lv-LV"/>
              </w:rPr>
              <w:t xml:space="preserve">, Edgars </w:t>
            </w:r>
            <w:proofErr w:type="spellStart"/>
            <w:r w:rsidR="00A748C2" w:rsidRPr="00191730">
              <w:rPr>
                <w:lang w:val="lv-LV"/>
              </w:rPr>
              <w:t>Plētiens</w:t>
            </w:r>
            <w:proofErr w:type="spellEnd"/>
            <w:r w:rsidR="00A748C2" w:rsidRPr="00191730">
              <w:rPr>
                <w:lang w:val="lv-LV"/>
              </w:rPr>
              <w:t xml:space="preserve">, </w:t>
            </w:r>
            <w:r w:rsidR="00FC284D" w:rsidRPr="00191730">
              <w:rPr>
                <w:lang w:val="lv-LV"/>
              </w:rPr>
              <w:t>Jan Vozáb</w:t>
            </w:r>
          </w:p>
        </w:tc>
      </w:tr>
    </w:tbl>
    <w:p w14:paraId="77BFC2A6" w14:textId="77777777" w:rsidR="006102E8" w:rsidRPr="00191730" w:rsidRDefault="006102E8" w:rsidP="006102E8">
      <w:pPr>
        <w:rPr>
          <w:lang w:val="lv-LV"/>
        </w:rPr>
      </w:pPr>
      <w:r w:rsidRPr="00191730">
        <w:rPr>
          <w:lang w:val="lv-LV"/>
        </w:rPr>
        <w:t> </w:t>
      </w:r>
    </w:p>
    <w:p w14:paraId="05D39655" w14:textId="77777777" w:rsidR="00646A67" w:rsidRPr="00191730" w:rsidRDefault="00646A67">
      <w:pPr>
        <w:rPr>
          <w:lang w:val="lv-LV"/>
        </w:rPr>
      </w:pPr>
    </w:p>
    <w:sectPr w:rsidR="00646A67" w:rsidRPr="00191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468E"/>
    <w:multiLevelType w:val="multilevel"/>
    <w:tmpl w:val="E1C86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13C67"/>
    <w:multiLevelType w:val="multilevel"/>
    <w:tmpl w:val="FC6A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C78F6"/>
    <w:multiLevelType w:val="hybridMultilevel"/>
    <w:tmpl w:val="85022C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7F838AE"/>
    <w:multiLevelType w:val="hybridMultilevel"/>
    <w:tmpl w:val="BBD20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A91AC7"/>
    <w:multiLevelType w:val="hybridMultilevel"/>
    <w:tmpl w:val="D9729BF6"/>
    <w:lvl w:ilvl="0" w:tplc="CFEE5C58">
      <w:start w:val="1"/>
      <w:numFmt w:val="decimal"/>
      <w:lvlText w:val="%1."/>
      <w:lvlJc w:val="left"/>
      <w:pPr>
        <w:tabs>
          <w:tab w:val="num" w:pos="720"/>
        </w:tabs>
        <w:ind w:left="720" w:hanging="360"/>
      </w:pPr>
    </w:lvl>
    <w:lvl w:ilvl="1" w:tplc="0FD818E6" w:tentative="1">
      <w:start w:val="1"/>
      <w:numFmt w:val="decimal"/>
      <w:lvlText w:val="%2."/>
      <w:lvlJc w:val="left"/>
      <w:pPr>
        <w:tabs>
          <w:tab w:val="num" w:pos="1440"/>
        </w:tabs>
        <w:ind w:left="1440" w:hanging="360"/>
      </w:pPr>
    </w:lvl>
    <w:lvl w:ilvl="2" w:tplc="7AFC9864" w:tentative="1">
      <w:start w:val="1"/>
      <w:numFmt w:val="decimal"/>
      <w:lvlText w:val="%3."/>
      <w:lvlJc w:val="left"/>
      <w:pPr>
        <w:tabs>
          <w:tab w:val="num" w:pos="2160"/>
        </w:tabs>
        <w:ind w:left="2160" w:hanging="360"/>
      </w:pPr>
    </w:lvl>
    <w:lvl w:ilvl="3" w:tplc="C42083D4" w:tentative="1">
      <w:start w:val="1"/>
      <w:numFmt w:val="decimal"/>
      <w:lvlText w:val="%4."/>
      <w:lvlJc w:val="left"/>
      <w:pPr>
        <w:tabs>
          <w:tab w:val="num" w:pos="2880"/>
        </w:tabs>
        <w:ind w:left="2880" w:hanging="360"/>
      </w:pPr>
    </w:lvl>
    <w:lvl w:ilvl="4" w:tplc="C818D696" w:tentative="1">
      <w:start w:val="1"/>
      <w:numFmt w:val="decimal"/>
      <w:lvlText w:val="%5."/>
      <w:lvlJc w:val="left"/>
      <w:pPr>
        <w:tabs>
          <w:tab w:val="num" w:pos="3600"/>
        </w:tabs>
        <w:ind w:left="3600" w:hanging="360"/>
      </w:pPr>
    </w:lvl>
    <w:lvl w:ilvl="5" w:tplc="D2D85044" w:tentative="1">
      <w:start w:val="1"/>
      <w:numFmt w:val="decimal"/>
      <w:lvlText w:val="%6."/>
      <w:lvlJc w:val="left"/>
      <w:pPr>
        <w:tabs>
          <w:tab w:val="num" w:pos="4320"/>
        </w:tabs>
        <w:ind w:left="4320" w:hanging="360"/>
      </w:pPr>
    </w:lvl>
    <w:lvl w:ilvl="6" w:tplc="A392A9E2" w:tentative="1">
      <w:start w:val="1"/>
      <w:numFmt w:val="decimal"/>
      <w:lvlText w:val="%7."/>
      <w:lvlJc w:val="left"/>
      <w:pPr>
        <w:tabs>
          <w:tab w:val="num" w:pos="5040"/>
        </w:tabs>
        <w:ind w:left="5040" w:hanging="360"/>
      </w:pPr>
    </w:lvl>
    <w:lvl w:ilvl="7" w:tplc="D6DC3088" w:tentative="1">
      <w:start w:val="1"/>
      <w:numFmt w:val="decimal"/>
      <w:lvlText w:val="%8."/>
      <w:lvlJc w:val="left"/>
      <w:pPr>
        <w:tabs>
          <w:tab w:val="num" w:pos="5760"/>
        </w:tabs>
        <w:ind w:left="5760" w:hanging="360"/>
      </w:pPr>
    </w:lvl>
    <w:lvl w:ilvl="8" w:tplc="17FEC6EA" w:tentative="1">
      <w:start w:val="1"/>
      <w:numFmt w:val="decimal"/>
      <w:lvlText w:val="%9."/>
      <w:lvlJc w:val="left"/>
      <w:pPr>
        <w:tabs>
          <w:tab w:val="num" w:pos="6480"/>
        </w:tabs>
        <w:ind w:left="6480" w:hanging="360"/>
      </w:pPr>
    </w:lvl>
  </w:abstractNum>
  <w:abstractNum w:abstractNumId="5" w15:restartNumberingAfterBreak="0">
    <w:nsid w:val="67021120"/>
    <w:multiLevelType w:val="hybridMultilevel"/>
    <w:tmpl w:val="BBD20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394436">
    <w:abstractNumId w:val="4"/>
  </w:num>
  <w:num w:numId="2" w16cid:durableId="329142338">
    <w:abstractNumId w:val="2"/>
  </w:num>
  <w:num w:numId="3" w16cid:durableId="1687445138">
    <w:abstractNumId w:val="5"/>
  </w:num>
  <w:num w:numId="4" w16cid:durableId="562566542">
    <w:abstractNumId w:val="3"/>
  </w:num>
  <w:num w:numId="5" w16cid:durableId="1829595317">
    <w:abstractNumId w:val="1"/>
  </w:num>
  <w:num w:numId="6" w16cid:durableId="50674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E8"/>
    <w:rsid w:val="000C44C1"/>
    <w:rsid w:val="000D1468"/>
    <w:rsid w:val="00102662"/>
    <w:rsid w:val="001610B9"/>
    <w:rsid w:val="00191730"/>
    <w:rsid w:val="001C0E8F"/>
    <w:rsid w:val="001D0E25"/>
    <w:rsid w:val="002324C1"/>
    <w:rsid w:val="002F18F2"/>
    <w:rsid w:val="00383B6B"/>
    <w:rsid w:val="003C71D2"/>
    <w:rsid w:val="003E4DD8"/>
    <w:rsid w:val="003E61E4"/>
    <w:rsid w:val="004079A6"/>
    <w:rsid w:val="004123A7"/>
    <w:rsid w:val="00450ADA"/>
    <w:rsid w:val="0045445B"/>
    <w:rsid w:val="00462ED6"/>
    <w:rsid w:val="00510C27"/>
    <w:rsid w:val="00552B93"/>
    <w:rsid w:val="00553305"/>
    <w:rsid w:val="00573ACA"/>
    <w:rsid w:val="0060239C"/>
    <w:rsid w:val="006102E8"/>
    <w:rsid w:val="00612AE4"/>
    <w:rsid w:val="00613EB9"/>
    <w:rsid w:val="00646A67"/>
    <w:rsid w:val="00686E47"/>
    <w:rsid w:val="0070340D"/>
    <w:rsid w:val="00782536"/>
    <w:rsid w:val="00786982"/>
    <w:rsid w:val="007D7103"/>
    <w:rsid w:val="007E1787"/>
    <w:rsid w:val="007E6E07"/>
    <w:rsid w:val="007F20DC"/>
    <w:rsid w:val="00852EF2"/>
    <w:rsid w:val="008757C5"/>
    <w:rsid w:val="008B0D7F"/>
    <w:rsid w:val="008E7482"/>
    <w:rsid w:val="008F7ADD"/>
    <w:rsid w:val="00972EE8"/>
    <w:rsid w:val="009B6297"/>
    <w:rsid w:val="00A46141"/>
    <w:rsid w:val="00A748C2"/>
    <w:rsid w:val="00B107CD"/>
    <w:rsid w:val="00B262CF"/>
    <w:rsid w:val="00B71854"/>
    <w:rsid w:val="00C2422B"/>
    <w:rsid w:val="00CA5193"/>
    <w:rsid w:val="00D22377"/>
    <w:rsid w:val="00EE56C8"/>
    <w:rsid w:val="00F05702"/>
    <w:rsid w:val="00F35DB1"/>
    <w:rsid w:val="00FC284D"/>
    <w:rsid w:val="296C9BB9"/>
    <w:rsid w:val="30A1A359"/>
    <w:rsid w:val="366945D2"/>
    <w:rsid w:val="7650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6E82"/>
  <w15:chartTrackingRefBased/>
  <w15:docId w15:val="{1A0F2F44-87C8-4AAE-AB75-8B2FF77F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2E8"/>
    <w:rPr>
      <w:rFonts w:eastAsiaTheme="majorEastAsia" w:cstheme="majorBidi"/>
      <w:color w:val="272727" w:themeColor="text1" w:themeTint="D8"/>
    </w:rPr>
  </w:style>
  <w:style w:type="paragraph" w:styleId="Title">
    <w:name w:val="Title"/>
    <w:basedOn w:val="Normal"/>
    <w:next w:val="Normal"/>
    <w:link w:val="TitleChar"/>
    <w:uiPriority w:val="10"/>
    <w:qFormat/>
    <w:rsid w:val="00610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2E8"/>
    <w:pPr>
      <w:spacing w:before="160"/>
      <w:jc w:val="center"/>
    </w:pPr>
    <w:rPr>
      <w:i/>
      <w:iCs/>
      <w:color w:val="404040" w:themeColor="text1" w:themeTint="BF"/>
    </w:rPr>
  </w:style>
  <w:style w:type="character" w:customStyle="1" w:styleId="QuoteChar">
    <w:name w:val="Quote Char"/>
    <w:basedOn w:val="DefaultParagraphFont"/>
    <w:link w:val="Quote"/>
    <w:uiPriority w:val="29"/>
    <w:rsid w:val="006102E8"/>
    <w:rPr>
      <w:i/>
      <w:iCs/>
      <w:color w:val="404040" w:themeColor="text1" w:themeTint="BF"/>
    </w:rPr>
  </w:style>
  <w:style w:type="paragraph" w:styleId="ListParagraph">
    <w:name w:val="List Paragraph"/>
    <w:aliases w:val="ERP-List Paragraph,List Paragraph11,Bullet EY,List Paragraph1,Numbered List,2,Bull,Bullet Points,Bullet Styl,Colorful List - Accent 11,Dot pt,F5 List Paragraph,IFCL - List Paragraph,Indicator Text,List Paragraph Char Char Char,Syle 1"/>
    <w:basedOn w:val="Normal"/>
    <w:link w:val="ListParagraphChar"/>
    <w:uiPriority w:val="34"/>
    <w:qFormat/>
    <w:rsid w:val="006102E8"/>
    <w:pPr>
      <w:ind w:left="720"/>
      <w:contextualSpacing/>
    </w:pPr>
  </w:style>
  <w:style w:type="character" w:styleId="IntenseEmphasis">
    <w:name w:val="Intense Emphasis"/>
    <w:basedOn w:val="DefaultParagraphFont"/>
    <w:uiPriority w:val="21"/>
    <w:qFormat/>
    <w:rsid w:val="006102E8"/>
    <w:rPr>
      <w:i/>
      <w:iCs/>
      <w:color w:val="0F4761" w:themeColor="accent1" w:themeShade="BF"/>
    </w:rPr>
  </w:style>
  <w:style w:type="paragraph" w:styleId="IntenseQuote">
    <w:name w:val="Intense Quote"/>
    <w:basedOn w:val="Normal"/>
    <w:next w:val="Normal"/>
    <w:link w:val="IntenseQuoteChar"/>
    <w:uiPriority w:val="30"/>
    <w:qFormat/>
    <w:rsid w:val="00610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2E8"/>
    <w:rPr>
      <w:i/>
      <w:iCs/>
      <w:color w:val="0F4761" w:themeColor="accent1" w:themeShade="BF"/>
    </w:rPr>
  </w:style>
  <w:style w:type="character" w:styleId="IntenseReference">
    <w:name w:val="Intense Reference"/>
    <w:basedOn w:val="DefaultParagraphFont"/>
    <w:uiPriority w:val="32"/>
    <w:qFormat/>
    <w:rsid w:val="006102E8"/>
    <w:rPr>
      <w:b/>
      <w:bCs/>
      <w:smallCaps/>
      <w:color w:val="0F4761" w:themeColor="accent1" w:themeShade="BF"/>
      <w:spacing w:val="5"/>
    </w:rPr>
  </w:style>
  <w:style w:type="character" w:styleId="Hyperlink">
    <w:name w:val="Hyperlink"/>
    <w:basedOn w:val="DefaultParagraphFont"/>
    <w:uiPriority w:val="99"/>
    <w:unhideWhenUsed/>
    <w:rsid w:val="00462ED6"/>
    <w:rPr>
      <w:color w:val="467886" w:themeColor="hyperlink"/>
      <w:u w:val="single"/>
    </w:rPr>
  </w:style>
  <w:style w:type="character" w:styleId="UnresolvedMention">
    <w:name w:val="Unresolved Mention"/>
    <w:basedOn w:val="DefaultParagraphFont"/>
    <w:uiPriority w:val="99"/>
    <w:semiHidden/>
    <w:unhideWhenUsed/>
    <w:rsid w:val="00462ED6"/>
    <w:rPr>
      <w:color w:val="605E5C"/>
      <w:shd w:val="clear" w:color="auto" w:fill="E1DFDD"/>
    </w:rPr>
  </w:style>
  <w:style w:type="character" w:customStyle="1" w:styleId="ListParagraphChar">
    <w:name w:val="List Paragraph Char"/>
    <w:aliases w:val="ERP-List Paragraph Char,List Paragraph11 Char,Bullet EY Char,List Paragraph1 Char,Numbered List Char,2 Char,Bull Char,Bullet Points Char,Bullet Styl Char,Colorful List - Accent 11 Char,Dot pt Char,F5 List Paragraph Char,Syle 1 Char"/>
    <w:basedOn w:val="DefaultParagraphFont"/>
    <w:link w:val="ListParagraph"/>
    <w:uiPriority w:val="34"/>
    <w:qFormat/>
    <w:locked/>
    <w:rsid w:val="004123A7"/>
  </w:style>
  <w:style w:type="paragraph" w:customStyle="1" w:styleId="whitespace-normal">
    <w:name w:val="whitespace-normal"/>
    <w:basedOn w:val="Normal"/>
    <w:rsid w:val="00686E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86E47"/>
    <w:rPr>
      <w:b/>
      <w:bCs/>
    </w:rPr>
  </w:style>
  <w:style w:type="paragraph" w:customStyle="1" w:styleId="font-claude-response-body">
    <w:name w:val="font-claude-response-body"/>
    <w:basedOn w:val="Normal"/>
    <w:rsid w:val="00686E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383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ra.ciuksa@mk.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3042</Words>
  <Characters>1735</Characters>
  <Application>Microsoft Office Word</Application>
  <DocSecurity>4</DocSecurity>
  <Lines>14</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Sanita Kalnača</cp:lastModifiedBy>
  <cp:revision>2</cp:revision>
  <dcterms:created xsi:type="dcterms:W3CDTF">2026-06-04T16:24:00Z</dcterms:created>
  <dcterms:modified xsi:type="dcterms:W3CDTF">2026-06-04T16:24:00Z</dcterms:modified>
</cp:coreProperties>
</file>