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B72E8F" w14:textId="707789B1" w:rsidR="002B626C" w:rsidRDefault="00173132" w:rsidP="00322BBE">
      <w:pPr>
        <w:rPr>
          <w:rFonts w:asciiTheme="majorHAnsi" w:eastAsiaTheme="majorEastAsia" w:hAnsiTheme="majorHAnsi" w:cstheme="majorBidi"/>
          <w:color w:val="1A1A1A" w:themeColor="accent1" w:themeShade="BF"/>
          <w:sz w:val="40"/>
          <w:szCs w:val="32"/>
          <w:lang w:val="lv-LV"/>
        </w:rPr>
      </w:pPr>
      <w:r w:rsidRPr="00173132">
        <w:rPr>
          <w:rFonts w:asciiTheme="majorHAnsi" w:eastAsiaTheme="majorEastAsia" w:hAnsiTheme="majorHAnsi" w:cstheme="majorBidi"/>
          <w:color w:val="1A1A1A" w:themeColor="accent1" w:themeShade="BF"/>
          <w:sz w:val="40"/>
          <w:szCs w:val="32"/>
          <w:lang w:val="lv-LV"/>
        </w:rPr>
        <w:t>Ziņojum</w:t>
      </w:r>
      <w:r>
        <w:rPr>
          <w:rFonts w:asciiTheme="majorHAnsi" w:eastAsiaTheme="majorEastAsia" w:hAnsiTheme="majorHAnsi" w:cstheme="majorBidi"/>
          <w:color w:val="1A1A1A" w:themeColor="accent1" w:themeShade="BF"/>
          <w:sz w:val="40"/>
          <w:szCs w:val="32"/>
          <w:lang w:val="lv-LV"/>
        </w:rPr>
        <w:t>a</w:t>
      </w:r>
      <w:r w:rsidRPr="00173132">
        <w:rPr>
          <w:rFonts w:asciiTheme="majorHAnsi" w:eastAsiaTheme="majorEastAsia" w:hAnsiTheme="majorHAnsi" w:cstheme="majorBidi"/>
          <w:color w:val="1A1A1A" w:themeColor="accent1" w:themeShade="BF"/>
          <w:sz w:val="40"/>
          <w:szCs w:val="32"/>
          <w:lang w:val="lv-LV"/>
        </w:rPr>
        <w:t xml:space="preserve"> par Valsts aizsardzības mācības un Jaunsardzes likuma mērķa īstenošanu un ietekmi uz mērķa grupām</w:t>
      </w:r>
      <w:r>
        <w:rPr>
          <w:rFonts w:asciiTheme="majorHAnsi" w:eastAsiaTheme="majorEastAsia" w:hAnsiTheme="majorHAnsi" w:cstheme="majorBidi"/>
          <w:color w:val="1A1A1A" w:themeColor="accent1" w:themeShade="BF"/>
          <w:sz w:val="40"/>
          <w:szCs w:val="32"/>
          <w:lang w:val="lv-LV"/>
        </w:rPr>
        <w:t xml:space="preserve"> </w:t>
      </w:r>
      <w:r w:rsidR="00313654">
        <w:rPr>
          <w:rFonts w:asciiTheme="majorHAnsi" w:eastAsiaTheme="majorEastAsia" w:hAnsiTheme="majorHAnsi" w:cstheme="majorBidi"/>
          <w:color w:val="1A1A1A" w:themeColor="accent1" w:themeShade="BF"/>
          <w:sz w:val="40"/>
          <w:szCs w:val="32"/>
          <w:lang w:val="lv-LV"/>
        </w:rPr>
        <w:t>kopsavilkums</w:t>
      </w:r>
    </w:p>
    <w:p w14:paraId="4E9BC447" w14:textId="527C26F8" w:rsidR="00423C38" w:rsidRDefault="00AB7E5E" w:rsidP="00423C38">
      <w:pPr>
        <w:rPr>
          <w:lang w:val="lv-LV"/>
        </w:rPr>
      </w:pPr>
      <w:r>
        <w:rPr>
          <w:noProof/>
          <w:lang w:val="lv-LV"/>
        </w:rPr>
        <w:drawing>
          <wp:anchor distT="0" distB="0" distL="114300" distR="114300" simplePos="0" relativeHeight="251658251" behindDoc="0" locked="0" layoutInCell="1" allowOverlap="1" wp14:anchorId="455D2160" wp14:editId="0CF87888">
            <wp:simplePos x="0" y="0"/>
            <wp:positionH relativeFrom="margin">
              <wp:align>left</wp:align>
            </wp:positionH>
            <wp:positionV relativeFrom="paragraph">
              <wp:posOffset>1466485</wp:posOffset>
            </wp:positionV>
            <wp:extent cx="540000" cy="540000"/>
            <wp:effectExtent l="0" t="0" r="0" b="0"/>
            <wp:wrapSquare wrapText="bothSides"/>
            <wp:docPr id="1618970118" name="Graphic 9" descr="Graduation ca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970118" name="Graphic 1618970118" descr="Graduation cap with solid fill"/>
                    <pic:cNvPicPr/>
                  </pic:nvPicPr>
                  <pic:blipFill>
                    <a:blip r:embed="rId9">
                      <a:extLst>
                        <a:ext uri="{96DAC541-7B7A-43D3-8B79-37D633B846F1}">
                          <asvg:svgBlip xmlns:asvg="http://schemas.microsoft.com/office/drawing/2016/SVG/main" r:embed="rId10"/>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r w:rsidR="00313654">
        <w:rPr>
          <w:noProof/>
          <w:lang w:val="lv-LV"/>
        </w:rPr>
        <w:t>Ziņojuma</w:t>
      </w:r>
      <w:r w:rsidR="008D67F2" w:rsidRPr="008D67F2">
        <w:rPr>
          <w:lang w:val="lv-LV"/>
        </w:rPr>
        <w:t xml:space="preserve"> mērķis bija noskaidrot Valsts aizsardzības mācības</w:t>
      </w:r>
      <w:r w:rsidR="001A13DF">
        <w:rPr>
          <w:lang w:val="lv-LV"/>
        </w:rPr>
        <w:t xml:space="preserve"> (VAM)</w:t>
      </w:r>
      <w:r w:rsidR="008D67F2" w:rsidRPr="008D67F2">
        <w:rPr>
          <w:lang w:val="lv-LV"/>
        </w:rPr>
        <w:t xml:space="preserve"> un Jaunsardzes likuma mērķa sasniegšanu un tā ietekmi uz mērķa grupām</w:t>
      </w:r>
      <w:r w:rsidR="00E854C8">
        <w:rPr>
          <w:lang w:val="lv-LV"/>
        </w:rPr>
        <w:t xml:space="preserve"> (Likums)</w:t>
      </w:r>
      <w:r w:rsidR="008D67F2" w:rsidRPr="008D67F2">
        <w:rPr>
          <w:lang w:val="lv-LV"/>
        </w:rPr>
        <w:t>.</w:t>
      </w:r>
      <w:r w:rsidR="00E854C8">
        <w:rPr>
          <w:lang w:val="lv-LV"/>
        </w:rPr>
        <w:t xml:space="preserve"> </w:t>
      </w:r>
      <w:r w:rsidR="00E854C8" w:rsidRPr="00E854C8">
        <w:rPr>
          <w:lang w:val="lv-LV"/>
        </w:rPr>
        <w:t>Likuma mērķis ir nodrošināt bērniem un jauniešiem iespēju apgūt vecumam atbilstošas zināšanas, prasmes un iemaņas valsts aizsardzībā – vai nu apgūstot VAM kā obligātu mācību priekšmetu vidusskolā, vai darbojoties Jaunsardzē kā brīvprātīgā interešu izglītības programmā. Lai gan abas programmas kalpo Likumā noteiktajam mērķim, tās darbojas atšķirīgos ietvaros: Jaunsardze kā ilgtermiņa brīvprātīgas iesaistes vide, kas veido patriotisma un pilsoniskās apziņas pamatu jau pamatskolas vecumā, savukārt VAM kā strukturēta valsts aizsardzības prasmju apguve vidusskolā, kas sasniedz visus skolēnus neatkarīgi no iepriekšējās pieredzes.</w:t>
      </w:r>
    </w:p>
    <w:p w14:paraId="52E9514C" w14:textId="65FC984A" w:rsidR="00322BBE" w:rsidRPr="003B71CB" w:rsidRDefault="00871181" w:rsidP="006D1B87">
      <w:pPr>
        <w:pStyle w:val="Heading2"/>
        <w:rPr>
          <w:lang w:val="lv-LV"/>
        </w:rPr>
      </w:pPr>
      <w:r w:rsidRPr="003B71CB">
        <w:rPr>
          <w:lang w:val="lv-LV"/>
        </w:rPr>
        <w:t>Valsts aizsardzības mācības ietekme uz mērķa grupu</w:t>
      </w:r>
    </w:p>
    <w:p w14:paraId="1ACA782E" w14:textId="5169AB89" w:rsidR="00E30C8F" w:rsidRPr="003B71CB" w:rsidRDefault="00E30C8F" w:rsidP="00E30C8F">
      <w:pPr>
        <w:rPr>
          <w:lang w:val="lv-LV"/>
        </w:rPr>
      </w:pPr>
      <w:r w:rsidRPr="003B71CB">
        <w:rPr>
          <w:lang w:val="lv-LV"/>
        </w:rPr>
        <w:t>VAM kopumā sasniedz savu pamatmērķi – veicināt jauniešu zināšanas, prasmes un attieksmes valsts aizsardzīb</w:t>
      </w:r>
      <w:r w:rsidR="00393F06">
        <w:rPr>
          <w:lang w:val="lv-LV"/>
        </w:rPr>
        <w:t>as</w:t>
      </w:r>
      <w:r w:rsidRPr="003B71CB">
        <w:rPr>
          <w:lang w:val="lv-LV"/>
        </w:rPr>
        <w:t xml:space="preserve"> un pilsonisk</w:t>
      </w:r>
      <w:r w:rsidR="00393F06">
        <w:rPr>
          <w:lang w:val="lv-LV"/>
        </w:rPr>
        <w:t>ās</w:t>
      </w:r>
      <w:r w:rsidRPr="003B71CB">
        <w:rPr>
          <w:lang w:val="lv-LV"/>
        </w:rPr>
        <w:t xml:space="preserve"> atbildīb</w:t>
      </w:r>
      <w:r w:rsidR="00393F06">
        <w:rPr>
          <w:lang w:val="lv-LV"/>
        </w:rPr>
        <w:t>as jomā</w:t>
      </w:r>
      <w:r w:rsidRPr="003B71CB">
        <w:rPr>
          <w:lang w:val="lv-LV"/>
        </w:rPr>
        <w:t>. Lielākā daļa jauniešu iegūtās zināšanas un prasmes vērtē pozitīvi (7</w:t>
      </w:r>
      <w:r w:rsidR="00CB5B67" w:rsidRPr="003B71CB">
        <w:rPr>
          <w:lang w:val="lv-LV"/>
        </w:rPr>
        <w:t>7</w:t>
      </w:r>
      <w:r w:rsidRPr="003B71CB">
        <w:rPr>
          <w:lang w:val="lv-LV"/>
        </w:rPr>
        <w:t xml:space="preserve"> % tās uzskata par noderīgām), īpaši izceļot disciplīnas, sadarbības</w:t>
      </w:r>
      <w:r w:rsidR="00BA02A1">
        <w:rPr>
          <w:lang w:val="lv-LV"/>
        </w:rPr>
        <w:t>, kā arī</w:t>
      </w:r>
      <w:r w:rsidRPr="003B71CB">
        <w:rPr>
          <w:lang w:val="lv-LV"/>
        </w:rPr>
        <w:t xml:space="preserve"> praktisko iemaņu</w:t>
      </w:r>
      <w:r w:rsidR="00CC7EB4">
        <w:rPr>
          <w:lang w:val="lv-LV"/>
        </w:rPr>
        <w:t>, tostarp orientēšanās</w:t>
      </w:r>
      <w:r w:rsidR="001A0DFB">
        <w:rPr>
          <w:lang w:val="lv-LV"/>
        </w:rPr>
        <w:t>, lauka kaujas un šaušanas prasmju,</w:t>
      </w:r>
      <w:r w:rsidRPr="003B71CB">
        <w:rPr>
          <w:lang w:val="lv-LV"/>
        </w:rPr>
        <w:t xml:space="preserve"> attīstību. Tas norāda, ka VAM efektīvi attīsta tieši tās kompetences, kas </w:t>
      </w:r>
      <w:r w:rsidR="00003CA8">
        <w:rPr>
          <w:lang w:val="lv-LV"/>
        </w:rPr>
        <w:t xml:space="preserve">ir </w:t>
      </w:r>
      <w:r w:rsidRPr="003B71CB">
        <w:rPr>
          <w:lang w:val="lv-LV"/>
        </w:rPr>
        <w:t>nepieciešamas rīcībspējīga</w:t>
      </w:r>
      <w:r w:rsidR="00003CA8">
        <w:rPr>
          <w:lang w:val="lv-LV"/>
        </w:rPr>
        <w:t>s un valstij piederīgas</w:t>
      </w:r>
      <w:r w:rsidRPr="003B71CB">
        <w:rPr>
          <w:lang w:val="lv-LV"/>
        </w:rPr>
        <w:t xml:space="preserve"> sabiedrība</w:t>
      </w:r>
      <w:r w:rsidR="00003CA8">
        <w:rPr>
          <w:lang w:val="lv-LV"/>
        </w:rPr>
        <w:t>s veidošanā</w:t>
      </w:r>
      <w:r w:rsidRPr="003B71CB">
        <w:rPr>
          <w:lang w:val="lv-LV"/>
        </w:rPr>
        <w:t>.</w:t>
      </w:r>
    </w:p>
    <w:p w14:paraId="2FC147AB" w14:textId="04C3F09D" w:rsidR="00CB5B67" w:rsidRPr="003B71CB" w:rsidRDefault="00CB5B67" w:rsidP="00700448">
      <w:pPr>
        <w:pStyle w:val="GraphTitle"/>
        <w:numPr>
          <w:ilvl w:val="0"/>
          <w:numId w:val="0"/>
        </w:numPr>
        <w:rPr>
          <w:lang w:val="lv-LV"/>
        </w:rPr>
      </w:pPr>
      <w:bookmarkStart w:id="0" w:name="_Toc226649715"/>
      <w:r w:rsidRPr="003B71CB">
        <w:rPr>
          <w:lang w:val="lv-LV"/>
        </w:rPr>
        <w:t>Jauniešu vērtējums par zināšanām un prasmēm, kas iegūtas VAM, %</w:t>
      </w:r>
      <w:bookmarkEnd w:id="0"/>
    </w:p>
    <w:p w14:paraId="24E7457D" w14:textId="3EC69629" w:rsidR="00CB5B67" w:rsidRPr="003B71CB" w:rsidRDefault="00CB5B67" w:rsidP="00736219">
      <w:pPr>
        <w:widowControl w:val="0"/>
        <w:autoSpaceDE w:val="0"/>
        <w:autoSpaceDN w:val="0"/>
        <w:adjustRightInd w:val="0"/>
        <w:spacing w:before="0" w:after="0" w:line="240" w:lineRule="auto"/>
        <w:ind w:right="74"/>
        <w:jc w:val="center"/>
        <w:rPr>
          <w:rFonts w:eastAsia="Times New Roman"/>
          <w:b/>
          <w:bCs/>
          <w:color w:val="82009B" w:themeColor="accent6"/>
          <w:lang w:val="lv-LV"/>
        </w:rPr>
      </w:pPr>
      <w:r w:rsidRPr="003B71CB">
        <w:rPr>
          <w:noProof/>
          <w:lang w:val="lv-LV"/>
        </w:rPr>
        <w:drawing>
          <wp:inline distT="0" distB="0" distL="0" distR="0" wp14:anchorId="52CA3542" wp14:editId="61F35CDA">
            <wp:extent cx="6471920" cy="968720"/>
            <wp:effectExtent l="0" t="0" r="5080" b="3175"/>
            <wp:docPr id="198653941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7618222" w14:textId="240ECDA7" w:rsidR="00CB5B67" w:rsidRPr="003B71CB" w:rsidRDefault="00CB5B67" w:rsidP="00CB5B67">
      <w:pPr>
        <w:jc w:val="right"/>
        <w:rPr>
          <w:sz w:val="20"/>
          <w:szCs w:val="20"/>
          <w:highlight w:val="yellow"/>
          <w:lang w:val="lv-LV"/>
        </w:rPr>
      </w:pPr>
      <w:r w:rsidRPr="003B71CB">
        <w:rPr>
          <w:rFonts w:ascii="Arial" w:hAnsi="Arial" w:cs="Arial"/>
          <w:i/>
          <w:iCs/>
          <w:color w:val="737373" w:themeColor="accent3" w:themeShade="80"/>
          <w:sz w:val="20"/>
          <w:szCs w:val="20"/>
          <w:lang w:val="lv-LV"/>
        </w:rPr>
        <w:t>Avots: Civitta veiktā jauniešu aptauja par VAM, N=2205</w:t>
      </w:r>
    </w:p>
    <w:p w14:paraId="69FE3D4F" w14:textId="10A2F505" w:rsidR="00E30C8F" w:rsidRPr="003B71CB" w:rsidRDefault="000669C3" w:rsidP="0086584C">
      <w:pPr>
        <w:ind w:left="851"/>
        <w:rPr>
          <w:lang w:val="lv-LV"/>
        </w:rPr>
      </w:pPr>
      <w:r w:rsidRPr="003B71CB">
        <w:rPr>
          <w:noProof/>
          <w:lang w:val="lv-LV"/>
        </w:rPr>
        <mc:AlternateContent>
          <mc:Choice Requires="wps">
            <w:drawing>
              <wp:anchor distT="0" distB="0" distL="114300" distR="114300" simplePos="0" relativeHeight="251658240" behindDoc="0" locked="0" layoutInCell="1" allowOverlap="1" wp14:anchorId="51611192" wp14:editId="45F47547">
                <wp:simplePos x="0" y="0"/>
                <wp:positionH relativeFrom="margin">
                  <wp:align>left</wp:align>
                </wp:positionH>
                <wp:positionV relativeFrom="paragraph">
                  <wp:posOffset>35912</wp:posOffset>
                </wp:positionV>
                <wp:extent cx="359410" cy="2987675"/>
                <wp:effectExtent l="0" t="0" r="2540" b="3175"/>
                <wp:wrapThrough wrapText="bothSides">
                  <wp:wrapPolygon edited="0">
                    <wp:start x="0" y="0"/>
                    <wp:lineTo x="0" y="21485"/>
                    <wp:lineTo x="20608" y="21485"/>
                    <wp:lineTo x="20608" y="0"/>
                    <wp:lineTo x="0" y="0"/>
                  </wp:wrapPolygon>
                </wp:wrapThrough>
                <wp:docPr id="212050701" name="Rectangle 2"/>
                <wp:cNvGraphicFramePr/>
                <a:graphic xmlns:a="http://schemas.openxmlformats.org/drawingml/2006/main">
                  <a:graphicData uri="http://schemas.microsoft.com/office/word/2010/wordprocessingShape">
                    <wps:wsp>
                      <wps:cNvSpPr/>
                      <wps:spPr>
                        <a:xfrm>
                          <a:off x="0" y="0"/>
                          <a:ext cx="359410" cy="298800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xmlns:c="http://schemas.openxmlformats.org/drawingml/2006/chart" xmlns:arto="http://schemas.microsoft.com/office/word/2006/arto">
            <w:pict>
              <v:rect id="Rectangle 2" style="position:absolute;margin-left:0;margin-top:2.85pt;width:28.3pt;height:235.2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f3b8ff [665]" stroked="f" strokeweight="1pt" w14:anchorId="3248A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">
                <w10:wrap type="through" anchorx="margin"/>
              </v:rect>
            </w:pict>
          </mc:Fallback>
        </mc:AlternateContent>
      </w:r>
      <w:r w:rsidR="00A544C7" w:rsidRPr="003B71CB">
        <w:rPr>
          <w:lang w:val="lv-LV"/>
        </w:rPr>
        <w:t>J</w:t>
      </w:r>
      <w:r w:rsidR="00E30C8F" w:rsidRPr="003B71CB">
        <w:rPr>
          <w:lang w:val="lv-LV"/>
        </w:rPr>
        <w:t xml:space="preserve">auniešu sākotnējā izpratne par VAM ieviešanas pamatojumu </w:t>
      </w:r>
      <w:r w:rsidR="00D153B7" w:rsidRPr="003B71CB">
        <w:rPr>
          <w:lang w:val="lv-LV"/>
        </w:rPr>
        <w:t>ir bijusi</w:t>
      </w:r>
      <w:r w:rsidR="00E30C8F" w:rsidRPr="003B71CB">
        <w:rPr>
          <w:lang w:val="lv-LV"/>
        </w:rPr>
        <w:t xml:space="preserve"> nevienmērīga – lai gan aptuveni divām trešdaļām bija vismaz daļēja skaidrība, pilnīga izpratne bija tikai ceturtajai daļai. Tas norāda uz nepietiekamu komunikāciju programmas ieviešanas posmā, kas var</w:t>
      </w:r>
      <w:r w:rsidR="00BB5037">
        <w:rPr>
          <w:lang w:val="lv-LV"/>
        </w:rPr>
        <w:t xml:space="preserve"> negatīvi</w:t>
      </w:r>
      <w:r w:rsidR="00E30C8F" w:rsidRPr="003B71CB">
        <w:rPr>
          <w:lang w:val="lv-LV"/>
        </w:rPr>
        <w:t xml:space="preserve"> ietekmēt motivāciju un attieksmi pret mācību priekšmetu.</w:t>
      </w:r>
    </w:p>
    <w:p w14:paraId="10558A86" w14:textId="7FEFE9C2" w:rsidR="00E30C8F" w:rsidRPr="003B71CB" w:rsidRDefault="3CFBEF03" w:rsidP="00954470">
      <w:pPr>
        <w:ind w:left="851"/>
        <w:rPr>
          <w:lang w:val="lv-LV"/>
        </w:rPr>
      </w:pPr>
      <w:r w:rsidRPr="3CFBEF03">
        <w:rPr>
          <w:lang w:val="lv-LV"/>
        </w:rPr>
        <w:t>Programmas satura dimensijā VAM vislabāk nodrošina militāri praktisko iemaņu apguvi (piemēram, darbības ar ieročiem, šaušana, lauka kaujas iemaņas). Vājāk attīstītas jomas ir pilsoniskā līdzdalība un mūsdienu tehnoloģiju (piemēram, dronu izmantošanas) apguve, kur lielai daļai jauniešu šādas iespējas vispār nav bijušas. Tas iezīmē skaidru virzienu programmas turpmākai pilnveidei. Jauniešu pašvērtējumā visaugstāk tiek novērtēta disciplīna, sadarbība un praktiskās iemaņas, savukārt rīcībspēja krīzes situācijās biežāk tiek vērtēta kā vidēja, kas liecina par nepietiekamu sagatavotību šajā jomā.</w:t>
      </w:r>
    </w:p>
    <w:p w14:paraId="4690F15B" w14:textId="58B8AE78" w:rsidR="00E30C8F" w:rsidRPr="003B71CB" w:rsidRDefault="001B1394" w:rsidP="00C0445C">
      <w:pPr>
        <w:ind w:left="851"/>
        <w:rPr>
          <w:lang w:val="lv-LV"/>
        </w:rPr>
      </w:pPr>
      <w:r>
        <w:rPr>
          <w:lang w:val="lv-LV"/>
        </w:rPr>
        <w:t>Analīze atklāj</w:t>
      </w:r>
      <w:r w:rsidRPr="003B71CB">
        <w:rPr>
          <w:lang w:val="lv-LV"/>
        </w:rPr>
        <w:t xml:space="preserve"> </w:t>
      </w:r>
      <w:r w:rsidR="00E30C8F" w:rsidRPr="003B71CB">
        <w:rPr>
          <w:lang w:val="lv-LV"/>
        </w:rPr>
        <w:t xml:space="preserve">būtiskas atšķirības starp </w:t>
      </w:r>
      <w:proofErr w:type="spellStart"/>
      <w:r w:rsidR="00E30C8F" w:rsidRPr="003B71CB">
        <w:rPr>
          <w:lang w:val="lv-LV"/>
        </w:rPr>
        <w:t>sociāldemogrāfiskajām</w:t>
      </w:r>
      <w:proofErr w:type="spellEnd"/>
      <w:r w:rsidR="00E30C8F" w:rsidRPr="003B71CB">
        <w:rPr>
          <w:lang w:val="lv-LV"/>
        </w:rPr>
        <w:t xml:space="preserve"> grupām. Augstāki vērtējumi biežāk novērojami jauniešiem no reģioniem (īpaši Zemgales un Kurzemes), no lauku teritorijām, kā arī tiem, kuru dzimtā valoda ir latviešu. Savukārt zemāki rādītāji biežāk raksturīgi Rīga</w:t>
      </w:r>
      <w:r w:rsidR="00413A73">
        <w:rPr>
          <w:lang w:val="lv-LV"/>
        </w:rPr>
        <w:t>s reģionam</w:t>
      </w:r>
      <w:r w:rsidR="00E30C8F" w:rsidRPr="003B71CB">
        <w:rPr>
          <w:lang w:val="lv-LV"/>
        </w:rPr>
        <w:t xml:space="preserve"> un rusofonajiem jauniešiem</w:t>
      </w:r>
      <w:r w:rsidR="00413A73">
        <w:rPr>
          <w:lang w:val="lv-LV"/>
        </w:rPr>
        <w:t>,</w:t>
      </w:r>
      <w:r w:rsidR="00E30C8F" w:rsidRPr="003B71CB">
        <w:rPr>
          <w:lang w:val="lv-LV"/>
        </w:rPr>
        <w:t xml:space="preserve"> norād</w:t>
      </w:r>
      <w:r w:rsidR="00413A73">
        <w:rPr>
          <w:lang w:val="lv-LV"/>
        </w:rPr>
        <w:t>ot</w:t>
      </w:r>
      <w:r w:rsidR="00E30C8F" w:rsidRPr="003B71CB">
        <w:rPr>
          <w:lang w:val="lv-LV"/>
        </w:rPr>
        <w:t xml:space="preserve"> uz nevienmērīgu VAM ietekmi un nepieciešamību pēc diferencēt</w:t>
      </w:r>
      <w:r w:rsidR="004E07F7">
        <w:rPr>
          <w:lang w:val="lv-LV"/>
        </w:rPr>
        <w:t>ākas</w:t>
      </w:r>
      <w:r w:rsidR="00E30C8F" w:rsidRPr="003B71CB">
        <w:rPr>
          <w:lang w:val="lv-LV"/>
        </w:rPr>
        <w:t xml:space="preserve"> pieejas</w:t>
      </w:r>
      <w:r w:rsidR="004E07F7">
        <w:rPr>
          <w:lang w:val="lv-LV"/>
        </w:rPr>
        <w:t xml:space="preserve"> programmas īstenošanā</w:t>
      </w:r>
      <w:r w:rsidR="00E30C8F" w:rsidRPr="003B71CB">
        <w:rPr>
          <w:lang w:val="lv-LV"/>
        </w:rPr>
        <w:t>.</w:t>
      </w:r>
    </w:p>
    <w:p w14:paraId="193BA1E3" w14:textId="04CE39E0" w:rsidR="00E30C8F" w:rsidRPr="003B71CB" w:rsidRDefault="00F33CCA" w:rsidP="00A50C7B">
      <w:pPr>
        <w:ind w:left="851"/>
        <w:rPr>
          <w:lang w:val="lv-LV"/>
        </w:rPr>
      </w:pPr>
      <w:r w:rsidRPr="003B71CB">
        <w:rPr>
          <w:noProof/>
          <w:lang w:val="lv-LV"/>
        </w:rPr>
        <w:lastRenderedPageBreak/>
        <mc:AlternateContent>
          <mc:Choice Requires="wps">
            <w:drawing>
              <wp:anchor distT="0" distB="0" distL="114300" distR="114300" simplePos="0" relativeHeight="251658241" behindDoc="0" locked="0" layoutInCell="1" allowOverlap="1" wp14:anchorId="2D73E919" wp14:editId="7B126F96">
                <wp:simplePos x="0" y="0"/>
                <wp:positionH relativeFrom="margin">
                  <wp:posOffset>-635</wp:posOffset>
                </wp:positionH>
                <wp:positionV relativeFrom="paragraph">
                  <wp:posOffset>31115</wp:posOffset>
                </wp:positionV>
                <wp:extent cx="359410" cy="2232000"/>
                <wp:effectExtent l="0" t="0" r="2540" b="0"/>
                <wp:wrapThrough wrapText="bothSides">
                  <wp:wrapPolygon edited="0">
                    <wp:start x="0" y="0"/>
                    <wp:lineTo x="0" y="21391"/>
                    <wp:lineTo x="20608" y="21391"/>
                    <wp:lineTo x="20608" y="0"/>
                    <wp:lineTo x="0" y="0"/>
                  </wp:wrapPolygon>
                </wp:wrapThrough>
                <wp:docPr id="642032674" name="Rectangle 2"/>
                <wp:cNvGraphicFramePr/>
                <a:graphic xmlns:a="http://schemas.openxmlformats.org/drawingml/2006/main">
                  <a:graphicData uri="http://schemas.microsoft.com/office/word/2010/wordprocessingShape">
                    <wps:wsp>
                      <wps:cNvSpPr/>
                      <wps:spPr>
                        <a:xfrm>
                          <a:off x="0" y="0"/>
                          <a:ext cx="359410" cy="223200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xmlns:c="http://schemas.openxmlformats.org/drawingml/2006/chart" xmlns:arto="http://schemas.microsoft.com/office/word/2006/arto">
            <w:pict>
              <v:rect id="Rectangle 2" style="position:absolute;margin-left:-.05pt;margin-top:2.45pt;width:28.3pt;height:175.7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3b8ff [665]" stroked="f" strokeweight="1pt" w14:anchorId="1444A6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">
                <w10:wrap type="through" anchorx="margin"/>
              </v:rect>
            </w:pict>
          </mc:Fallback>
        </mc:AlternateContent>
      </w:r>
      <w:r w:rsidR="004E07F7">
        <w:rPr>
          <w:lang w:val="lv-LV"/>
        </w:rPr>
        <w:t>Nozīmīgs i</w:t>
      </w:r>
      <w:r w:rsidR="00C0445C" w:rsidRPr="003B71CB">
        <w:rPr>
          <w:lang w:val="lv-LV"/>
        </w:rPr>
        <w:t>etekmējošs</w:t>
      </w:r>
      <w:r w:rsidR="00E30C8F" w:rsidRPr="003B71CB">
        <w:rPr>
          <w:lang w:val="lv-LV"/>
        </w:rPr>
        <w:t xml:space="preserve"> faktors ir iepriekšēja Jaunsardzes pieredze – jaunieši ar </w:t>
      </w:r>
      <w:r w:rsidR="00A50C7B" w:rsidRPr="003B71CB">
        <w:rPr>
          <w:lang w:val="lv-LV"/>
        </w:rPr>
        <w:t>š</w:t>
      </w:r>
      <w:r w:rsidR="00085779">
        <w:rPr>
          <w:lang w:val="lv-LV"/>
        </w:rPr>
        <w:t>ādu</w:t>
      </w:r>
      <w:r w:rsidR="00E30C8F" w:rsidRPr="003B71CB">
        <w:rPr>
          <w:lang w:val="lv-LV"/>
        </w:rPr>
        <w:t xml:space="preserve"> pieredzi demonstrē augstāku pārliecību</w:t>
      </w:r>
      <w:r w:rsidR="00663E19">
        <w:rPr>
          <w:lang w:val="lv-LV"/>
        </w:rPr>
        <w:t xml:space="preserve"> par sevi</w:t>
      </w:r>
      <w:r w:rsidR="00E30C8F" w:rsidRPr="003B71CB">
        <w:rPr>
          <w:lang w:val="lv-LV"/>
        </w:rPr>
        <w:t>, aktīvāku iesaisti un labāku izpratni</w:t>
      </w:r>
      <w:r w:rsidR="00D20535">
        <w:rPr>
          <w:lang w:val="lv-LV"/>
        </w:rPr>
        <w:t xml:space="preserve"> par programmas saturu</w:t>
      </w:r>
      <w:r w:rsidR="00E30C8F" w:rsidRPr="003B71CB">
        <w:rPr>
          <w:lang w:val="lv-LV"/>
        </w:rPr>
        <w:t xml:space="preserve">. Tomēr šai grupai VAM saturs bieži vien nav jauns, kas </w:t>
      </w:r>
      <w:r w:rsidR="00DA6495">
        <w:rPr>
          <w:lang w:val="lv-LV"/>
        </w:rPr>
        <w:t>aktualizē</w:t>
      </w:r>
      <w:r w:rsidR="00E30C8F" w:rsidRPr="003B71CB">
        <w:rPr>
          <w:lang w:val="lv-LV"/>
        </w:rPr>
        <w:t xml:space="preserve"> nepieciešamību diferencēt mācību saturu atbilstoši </w:t>
      </w:r>
      <w:r w:rsidR="00552CE6">
        <w:rPr>
          <w:lang w:val="lv-LV"/>
        </w:rPr>
        <w:t xml:space="preserve">jauniešu </w:t>
      </w:r>
      <w:r w:rsidR="00E30C8F" w:rsidRPr="003B71CB">
        <w:rPr>
          <w:lang w:val="lv-LV"/>
        </w:rPr>
        <w:t>priekšzināšanām.</w:t>
      </w:r>
    </w:p>
    <w:p w14:paraId="60D37E45" w14:textId="42ACC217" w:rsidR="00E30C8F" w:rsidRPr="003B71CB" w:rsidRDefault="00E30C8F" w:rsidP="00A50C7B">
      <w:pPr>
        <w:ind w:left="851"/>
        <w:rPr>
          <w:lang w:val="lv-LV"/>
        </w:rPr>
      </w:pPr>
      <w:r w:rsidRPr="003B71CB">
        <w:rPr>
          <w:lang w:val="lv-LV"/>
        </w:rPr>
        <w:t>Attiecībā uz patriotismu un pilsonisko identitāti rezultāti ir pozitīvi – 76 % jauniešu lepojas ar Latvijas pils</w:t>
      </w:r>
      <w:r w:rsidR="005418C2">
        <w:rPr>
          <w:lang w:val="lv-LV"/>
        </w:rPr>
        <w:t>onību</w:t>
      </w:r>
      <w:r w:rsidRPr="003B71CB">
        <w:rPr>
          <w:lang w:val="lv-LV"/>
        </w:rPr>
        <w:t xml:space="preserve"> un 68 % piekrīt, ka pilsoņa pienākums ir aizsargāt valsti. Tomēr VAM ietekme šajā jomā pārsvarā ir nostiprinoša, nevis veidojoša</w:t>
      </w:r>
      <w:r w:rsidR="00892A1B">
        <w:rPr>
          <w:lang w:val="lv-LV"/>
        </w:rPr>
        <w:t>, proti,</w:t>
      </w:r>
      <w:r w:rsidRPr="003B71CB">
        <w:rPr>
          <w:lang w:val="lv-LV"/>
        </w:rPr>
        <w:t xml:space="preserve"> VAM</w:t>
      </w:r>
      <w:r w:rsidR="000C0023">
        <w:rPr>
          <w:lang w:val="lv-LV"/>
        </w:rPr>
        <w:t xml:space="preserve"> programma</w:t>
      </w:r>
      <w:r w:rsidRPr="003B71CB">
        <w:rPr>
          <w:lang w:val="lv-LV"/>
        </w:rPr>
        <w:t xml:space="preserve"> vairāk stiprina jau esošās attieksmes, ne</w:t>
      </w:r>
      <w:r w:rsidR="00544619">
        <w:rPr>
          <w:lang w:val="lv-LV"/>
        </w:rPr>
        <w:t>kā</w:t>
      </w:r>
      <w:r w:rsidRPr="003B71CB">
        <w:rPr>
          <w:lang w:val="lv-LV"/>
        </w:rPr>
        <w:t xml:space="preserve"> būtiski tās </w:t>
      </w:r>
      <w:r w:rsidR="00544619">
        <w:rPr>
          <w:lang w:val="lv-LV"/>
        </w:rPr>
        <w:t>transformē</w:t>
      </w:r>
      <w:r w:rsidRPr="003B71CB">
        <w:rPr>
          <w:lang w:val="lv-LV"/>
        </w:rPr>
        <w:t>.</w:t>
      </w:r>
    </w:p>
    <w:p w14:paraId="7DC23BC9" w14:textId="44048CFB" w:rsidR="00AB7E5E" w:rsidRDefault="003A7A39" w:rsidP="00A50C7B">
      <w:pPr>
        <w:ind w:left="851"/>
        <w:rPr>
          <w:lang w:val="lv-LV"/>
        </w:rPr>
      </w:pPr>
      <w:r>
        <w:rPr>
          <w:noProof/>
          <w:lang w:val="lv-LV"/>
        </w:rPr>
        <w:drawing>
          <wp:anchor distT="0" distB="0" distL="114300" distR="114300" simplePos="0" relativeHeight="251658252" behindDoc="0" locked="0" layoutInCell="1" allowOverlap="1" wp14:anchorId="5CCB996A" wp14:editId="2A9683DD">
            <wp:simplePos x="0" y="0"/>
            <wp:positionH relativeFrom="margin">
              <wp:align>left</wp:align>
            </wp:positionH>
            <wp:positionV relativeFrom="paragraph">
              <wp:posOffset>767715</wp:posOffset>
            </wp:positionV>
            <wp:extent cx="540000" cy="540000"/>
            <wp:effectExtent l="0" t="0" r="0" b="0"/>
            <wp:wrapSquare wrapText="bothSides"/>
            <wp:docPr id="1663428620" name="Graphic 10" descr="Shiel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428620" name="Graphic 1663428620" descr="Shield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r w:rsidR="00544619">
        <w:rPr>
          <w:lang w:val="lv-LV"/>
        </w:rPr>
        <w:t>I</w:t>
      </w:r>
      <w:r w:rsidR="00E30C8F" w:rsidRPr="003B71CB">
        <w:rPr>
          <w:lang w:val="lv-LV"/>
        </w:rPr>
        <w:t xml:space="preserve">etekme uz uzvedību un nākotnes izvēlēm ir ierobežotāka. Vislielākā ietekme novērojama attiecībā uz fizisko sagatavotību (48 % </w:t>
      </w:r>
      <w:r w:rsidR="007136B5">
        <w:rPr>
          <w:lang w:val="lv-LV"/>
        </w:rPr>
        <w:t xml:space="preserve">jaunieši norāda, ka </w:t>
      </w:r>
      <w:r w:rsidR="00E30C8F" w:rsidRPr="003B71CB">
        <w:rPr>
          <w:lang w:val="lv-LV"/>
        </w:rPr>
        <w:t xml:space="preserve">par to domā biežāk), bet būtiskas izmaiņas pilsoniskajā līdzdalībā vai karjeras izvēlēs ir mazāk izteiktas. </w:t>
      </w:r>
      <w:r w:rsidR="00B22DFA">
        <w:rPr>
          <w:lang w:val="lv-LV"/>
        </w:rPr>
        <w:t>Vairāk nekā pusei</w:t>
      </w:r>
      <w:r w:rsidR="00E30C8F" w:rsidRPr="003B71CB">
        <w:rPr>
          <w:lang w:val="lv-LV"/>
        </w:rPr>
        <w:t xml:space="preserve"> jauniešu attieksme šajos jautājumos </w:t>
      </w:r>
      <w:r w:rsidR="00B61CAD">
        <w:rPr>
          <w:lang w:val="lv-LV"/>
        </w:rPr>
        <w:t xml:space="preserve">pēc VAM apguves </w:t>
      </w:r>
      <w:r w:rsidR="00E30C8F" w:rsidRPr="003B71CB">
        <w:rPr>
          <w:lang w:val="lv-LV"/>
        </w:rPr>
        <w:t>nav mainījusies</w:t>
      </w:r>
      <w:r w:rsidR="00AB7E5E">
        <w:rPr>
          <w:lang w:val="lv-LV"/>
        </w:rPr>
        <w:t>.</w:t>
      </w:r>
    </w:p>
    <w:p w14:paraId="132E4D29" w14:textId="1DF46648" w:rsidR="00E30C8F" w:rsidRDefault="00422CB5" w:rsidP="00AB7E5E">
      <w:pPr>
        <w:pStyle w:val="Heading2"/>
        <w:rPr>
          <w:lang w:val="lv-LV"/>
        </w:rPr>
      </w:pPr>
      <w:r w:rsidRPr="00422CB5">
        <w:rPr>
          <w:lang w:val="lv-LV"/>
        </w:rPr>
        <w:t>Jaunsargu interešu izglītības programmas ietekme uz mērķa grupu</w:t>
      </w:r>
    </w:p>
    <w:p w14:paraId="17ECEA96" w14:textId="4386D333" w:rsidR="00E518E0" w:rsidRDefault="00E518E0" w:rsidP="00E518E0">
      <w:pPr>
        <w:rPr>
          <w:lang w:val="lv-LV"/>
        </w:rPr>
      </w:pPr>
      <w:r w:rsidRPr="00E518E0">
        <w:rPr>
          <w:lang w:val="lv-LV"/>
        </w:rPr>
        <w:t>Jaunsardzes interešu izglītības programma lielā mērā sasniedz savus izvirzītos mērķus un nodrošina jauniešiem daudzpusīgu attīstību. Programma veicina gan praktisko iemaņu, gan personisko un sociālo kompetenču attīstību, vienlaikus stiprinot pilsonisko apziņu un piederības sajūtu.</w:t>
      </w:r>
      <w:r w:rsidR="00AB7E5E">
        <w:rPr>
          <w:lang w:val="lv-LV"/>
        </w:rPr>
        <w:t xml:space="preserve"> </w:t>
      </w:r>
    </w:p>
    <w:p w14:paraId="7A9D6A09" w14:textId="39BE58AE" w:rsidR="00E518E0" w:rsidRPr="00E518E0" w:rsidRDefault="00384F5A" w:rsidP="00831AF1">
      <w:pPr>
        <w:ind w:left="851"/>
        <w:rPr>
          <w:lang w:val="lv-LV"/>
        </w:rPr>
      </w:pPr>
      <w:r w:rsidRPr="003B71CB">
        <w:rPr>
          <w:noProof/>
          <w:lang w:val="lv-LV"/>
        </w:rPr>
        <mc:AlternateContent>
          <mc:Choice Requires="wps">
            <w:drawing>
              <wp:anchor distT="0" distB="0" distL="114300" distR="114300" simplePos="0" relativeHeight="251658242" behindDoc="0" locked="0" layoutInCell="1" allowOverlap="1" wp14:anchorId="64B9A380" wp14:editId="7F436B4F">
                <wp:simplePos x="0" y="0"/>
                <wp:positionH relativeFrom="margin">
                  <wp:posOffset>-635</wp:posOffset>
                </wp:positionH>
                <wp:positionV relativeFrom="paragraph">
                  <wp:posOffset>3175</wp:posOffset>
                </wp:positionV>
                <wp:extent cx="359410" cy="3564000"/>
                <wp:effectExtent l="0" t="0" r="2540" b="0"/>
                <wp:wrapThrough wrapText="bothSides">
                  <wp:wrapPolygon edited="0">
                    <wp:start x="0" y="0"/>
                    <wp:lineTo x="0" y="21477"/>
                    <wp:lineTo x="20608" y="21477"/>
                    <wp:lineTo x="20608" y="0"/>
                    <wp:lineTo x="0" y="0"/>
                  </wp:wrapPolygon>
                </wp:wrapThrough>
                <wp:docPr id="711878756" name="Rectangle 2"/>
                <wp:cNvGraphicFramePr/>
                <a:graphic xmlns:a="http://schemas.openxmlformats.org/drawingml/2006/main">
                  <a:graphicData uri="http://schemas.microsoft.com/office/word/2010/wordprocessingShape">
                    <wps:wsp>
                      <wps:cNvSpPr/>
                      <wps:spPr>
                        <a:xfrm>
                          <a:off x="0" y="0"/>
                          <a:ext cx="359410" cy="356400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xmlns:c="http://schemas.openxmlformats.org/drawingml/2006/chart" xmlns:arto="http://schemas.microsoft.com/office/word/2006/arto">
            <w:pict>
              <v:rect id="Rectangle 2" style="position:absolute;margin-left:-.05pt;margin-top:.25pt;width:28.3pt;height:280.6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3b8ff [665]" stroked="f" strokeweight="1pt" w14:anchorId="35EE71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">
                <w10:wrap type="through" anchorx="margin"/>
              </v:rect>
            </w:pict>
          </mc:Fallback>
        </mc:AlternateContent>
      </w:r>
      <w:r w:rsidR="00E518E0" w:rsidRPr="00E518E0">
        <w:rPr>
          <w:lang w:val="lv-LV"/>
        </w:rPr>
        <w:t xml:space="preserve">Jauniešu iesaiste Jaunsardzē pārsvarā balstās uz </w:t>
      </w:r>
      <w:r w:rsidR="00EC6294">
        <w:rPr>
          <w:lang w:val="lv-LV"/>
        </w:rPr>
        <w:t>personīgo</w:t>
      </w:r>
      <w:r w:rsidR="00E518E0" w:rsidRPr="00E518E0">
        <w:rPr>
          <w:lang w:val="lv-LV"/>
        </w:rPr>
        <w:t xml:space="preserve"> motivāciju</w:t>
      </w:r>
      <w:r w:rsidR="00CF0AB4">
        <w:rPr>
          <w:lang w:val="lv-LV"/>
        </w:rPr>
        <w:t xml:space="preserve"> – n</w:t>
      </w:r>
      <w:r w:rsidR="00E518E0" w:rsidRPr="00E518E0">
        <w:rPr>
          <w:lang w:val="lv-LV"/>
        </w:rPr>
        <w:t>ozīmīg</w:t>
      </w:r>
      <w:r w:rsidR="00CF0AB4">
        <w:rPr>
          <w:lang w:val="lv-LV"/>
        </w:rPr>
        <w:t>s</w:t>
      </w:r>
      <w:r w:rsidR="00E518E0" w:rsidRPr="00E518E0">
        <w:rPr>
          <w:lang w:val="lv-LV"/>
        </w:rPr>
        <w:t xml:space="preserve"> </w:t>
      </w:r>
      <w:r w:rsidR="00D00384">
        <w:rPr>
          <w:lang w:val="lv-LV"/>
        </w:rPr>
        <w:t>iesaistes</w:t>
      </w:r>
      <w:r w:rsidR="00D00384" w:rsidRPr="00E518E0">
        <w:rPr>
          <w:lang w:val="lv-LV"/>
        </w:rPr>
        <w:t xml:space="preserve"> </w:t>
      </w:r>
      <w:r w:rsidR="00E518E0" w:rsidRPr="00E518E0">
        <w:rPr>
          <w:lang w:val="lv-LV"/>
        </w:rPr>
        <w:t xml:space="preserve">faktors ir instruktora personība, kas uzsver cilvēkfaktora </w:t>
      </w:r>
      <w:r w:rsidR="00CF3F0A">
        <w:rPr>
          <w:lang w:val="lv-LV"/>
        </w:rPr>
        <w:t xml:space="preserve">lomu </w:t>
      </w:r>
      <w:r w:rsidR="00E518E0" w:rsidRPr="00E518E0">
        <w:rPr>
          <w:lang w:val="lv-LV"/>
        </w:rPr>
        <w:t>programmas īstenošan</w:t>
      </w:r>
      <w:r w:rsidR="00076946">
        <w:rPr>
          <w:lang w:val="lv-LV"/>
        </w:rPr>
        <w:t>as kvalitātē</w:t>
      </w:r>
      <w:r w:rsidR="00E518E0" w:rsidRPr="00E518E0">
        <w:rPr>
          <w:lang w:val="lv-LV"/>
        </w:rPr>
        <w:t>. Tāpat būtiska</w:t>
      </w:r>
      <w:r w:rsidR="003753F6">
        <w:rPr>
          <w:lang w:val="lv-LV"/>
        </w:rPr>
        <w:t xml:space="preserve"> nozīme</w:t>
      </w:r>
      <w:r w:rsidR="00E518E0" w:rsidRPr="00E518E0">
        <w:rPr>
          <w:lang w:val="lv-LV"/>
        </w:rPr>
        <w:t xml:space="preserve"> ir </w:t>
      </w:r>
      <w:r w:rsidR="00FA3AB9">
        <w:rPr>
          <w:lang w:val="lv-LV"/>
        </w:rPr>
        <w:t xml:space="preserve">arī </w:t>
      </w:r>
      <w:r w:rsidR="00E518E0" w:rsidRPr="00E518E0">
        <w:rPr>
          <w:lang w:val="lv-LV"/>
        </w:rPr>
        <w:t>interese</w:t>
      </w:r>
      <w:r w:rsidR="00FA3AB9">
        <w:rPr>
          <w:lang w:val="lv-LV"/>
        </w:rPr>
        <w:t>i</w:t>
      </w:r>
      <w:r w:rsidR="00E518E0" w:rsidRPr="00E518E0">
        <w:rPr>
          <w:lang w:val="lv-LV"/>
        </w:rPr>
        <w:t xml:space="preserve"> par praktiskām un militārām prasmēm un aktivitātēm ārpus telpām</w:t>
      </w:r>
      <w:r w:rsidR="00597411">
        <w:rPr>
          <w:lang w:val="lv-LV"/>
        </w:rPr>
        <w:t xml:space="preserve">. </w:t>
      </w:r>
      <w:r w:rsidR="00E518E0" w:rsidRPr="00E518E0">
        <w:rPr>
          <w:lang w:val="lv-LV"/>
        </w:rPr>
        <w:t>Savukārt vecāku, draugu vai skolotāju ietekme ir ievērojami mazāka, kas norāda uz jauniešu patstāvīgu</w:t>
      </w:r>
      <w:r w:rsidR="00EA1B11">
        <w:rPr>
          <w:lang w:val="lv-LV"/>
        </w:rPr>
        <w:t xml:space="preserve"> un apzinātu</w:t>
      </w:r>
      <w:r w:rsidR="00E518E0" w:rsidRPr="00E518E0">
        <w:rPr>
          <w:lang w:val="lv-LV"/>
        </w:rPr>
        <w:t xml:space="preserve"> izvēli iesaistīties</w:t>
      </w:r>
      <w:r w:rsidR="00E142FA">
        <w:rPr>
          <w:lang w:val="lv-LV"/>
        </w:rPr>
        <w:t xml:space="preserve"> programmā</w:t>
      </w:r>
      <w:r w:rsidR="00E518E0" w:rsidRPr="00E518E0">
        <w:rPr>
          <w:lang w:val="lv-LV"/>
        </w:rPr>
        <w:t>.</w:t>
      </w:r>
    </w:p>
    <w:p w14:paraId="206EA4D9" w14:textId="165AF038" w:rsidR="00E518E0" w:rsidRDefault="00E518E0" w:rsidP="00831AF1">
      <w:pPr>
        <w:ind w:left="851"/>
        <w:rPr>
          <w:lang w:val="lv-LV"/>
        </w:rPr>
      </w:pPr>
      <w:r w:rsidRPr="00E518E0">
        <w:rPr>
          <w:lang w:val="lv-LV"/>
        </w:rPr>
        <w:t xml:space="preserve">Jaunsargu attieksme pret programmu ir ļoti pozitīva – 93 % </w:t>
      </w:r>
      <w:r w:rsidR="00BD5729">
        <w:rPr>
          <w:lang w:val="lv-LV"/>
        </w:rPr>
        <w:t xml:space="preserve">norāda, ka viņiem </w:t>
      </w:r>
      <w:r w:rsidRPr="00E518E0">
        <w:rPr>
          <w:lang w:val="lv-LV"/>
        </w:rPr>
        <w:t>patīk darboties Jaunsardzē, bet 95 % uzskata, ka tajā iegūst noderīgas zināšanas un prasmes. Augst</w:t>
      </w:r>
      <w:r w:rsidR="00DD43AC">
        <w:rPr>
          <w:lang w:val="lv-LV"/>
        </w:rPr>
        <w:t>u</w:t>
      </w:r>
      <w:r w:rsidRPr="00E518E0">
        <w:rPr>
          <w:lang w:val="lv-LV"/>
        </w:rPr>
        <w:t xml:space="preserve"> tiek vērtēta arī piederības sajūta </w:t>
      </w:r>
      <w:r w:rsidR="00237855">
        <w:rPr>
          <w:lang w:val="lv-LV"/>
        </w:rPr>
        <w:t xml:space="preserve">savai vienībai </w:t>
      </w:r>
      <w:r w:rsidRPr="00E518E0">
        <w:rPr>
          <w:lang w:val="lv-LV"/>
        </w:rPr>
        <w:t>un lepnums par dalību</w:t>
      </w:r>
      <w:r w:rsidR="002B3877">
        <w:rPr>
          <w:lang w:val="lv-LV"/>
        </w:rPr>
        <w:t xml:space="preserve"> Jaunsardzē</w:t>
      </w:r>
      <w:r w:rsidR="00D715D5">
        <w:rPr>
          <w:lang w:val="lv-LV"/>
        </w:rPr>
        <w:t>, kas kopumā</w:t>
      </w:r>
      <w:r w:rsidRPr="00E518E0">
        <w:rPr>
          <w:lang w:val="lv-LV"/>
        </w:rPr>
        <w:t xml:space="preserve"> liecina par spēcīgu emocionālo un sociālo </w:t>
      </w:r>
      <w:r w:rsidR="002F689D">
        <w:rPr>
          <w:lang w:val="lv-LV"/>
        </w:rPr>
        <w:t>p</w:t>
      </w:r>
      <w:r w:rsidRPr="00E518E0">
        <w:rPr>
          <w:lang w:val="lv-LV"/>
        </w:rPr>
        <w:t>iesaisti programm</w:t>
      </w:r>
      <w:r w:rsidR="00EB09DC">
        <w:rPr>
          <w:lang w:val="lv-LV"/>
        </w:rPr>
        <w:t>ai</w:t>
      </w:r>
      <w:r w:rsidRPr="00E518E0">
        <w:rPr>
          <w:lang w:val="lv-LV"/>
        </w:rPr>
        <w:t>.</w:t>
      </w:r>
    </w:p>
    <w:p w14:paraId="35D3C153" w14:textId="740796B2" w:rsidR="00E518E0" w:rsidRDefault="00E518E0" w:rsidP="00831AF1">
      <w:pPr>
        <w:ind w:left="851"/>
        <w:rPr>
          <w:lang w:val="lv-LV"/>
        </w:rPr>
      </w:pPr>
      <w:r w:rsidRPr="00E518E0">
        <w:rPr>
          <w:lang w:val="lv-LV"/>
        </w:rPr>
        <w:t>Prasmju attīstības ziņā Jaunsardze demonstrē īpaši augstus rezultātus. Visaugstāk novērtēta rīcīb</w:t>
      </w:r>
      <w:r w:rsidR="002522D1">
        <w:rPr>
          <w:lang w:val="lv-LV"/>
        </w:rPr>
        <w:t>spēja</w:t>
      </w:r>
      <w:r w:rsidRPr="00E518E0">
        <w:rPr>
          <w:lang w:val="lv-LV"/>
        </w:rPr>
        <w:t xml:space="preserve"> ārkārtas situācijās</w:t>
      </w:r>
      <w:r w:rsidR="0066002F">
        <w:rPr>
          <w:lang w:val="lv-LV"/>
        </w:rPr>
        <w:t xml:space="preserve">, </w:t>
      </w:r>
      <w:r w:rsidRPr="00E518E0">
        <w:rPr>
          <w:lang w:val="lv-LV"/>
        </w:rPr>
        <w:t>ikdienā noderīgas prasmes un fiziskās aktivitātes</w:t>
      </w:r>
      <w:r w:rsidR="0066002F">
        <w:rPr>
          <w:lang w:val="lv-LV"/>
        </w:rPr>
        <w:t xml:space="preserve">. </w:t>
      </w:r>
      <w:r w:rsidR="001F3776">
        <w:rPr>
          <w:lang w:val="lv-LV"/>
        </w:rPr>
        <w:t>Paralēli</w:t>
      </w:r>
      <w:r w:rsidR="001F3776" w:rsidRPr="00E518E0">
        <w:rPr>
          <w:lang w:val="lv-LV"/>
        </w:rPr>
        <w:t xml:space="preserve"> </w:t>
      </w:r>
      <w:r w:rsidRPr="00E518E0">
        <w:rPr>
          <w:lang w:val="lv-LV"/>
        </w:rPr>
        <w:t>būtiski attīstās sociālās un personiskās kompetences – atbildība</w:t>
      </w:r>
      <w:r w:rsidR="00894617">
        <w:rPr>
          <w:lang w:val="lv-LV"/>
        </w:rPr>
        <w:t>s sajūta</w:t>
      </w:r>
      <w:r w:rsidRPr="00E518E0">
        <w:rPr>
          <w:lang w:val="lv-LV"/>
        </w:rPr>
        <w:t>, sadarbība un pašpārliecība</w:t>
      </w:r>
      <w:r w:rsidR="00B8243B">
        <w:rPr>
          <w:lang w:val="lv-LV"/>
        </w:rPr>
        <w:t>, kas</w:t>
      </w:r>
      <w:r w:rsidRPr="00E518E0">
        <w:rPr>
          <w:lang w:val="lv-LV"/>
        </w:rPr>
        <w:t xml:space="preserve"> apstiprina programma</w:t>
      </w:r>
      <w:r w:rsidR="00720179">
        <w:rPr>
          <w:lang w:val="lv-LV"/>
        </w:rPr>
        <w:t>s spēju</w:t>
      </w:r>
      <w:r w:rsidR="008B2359">
        <w:rPr>
          <w:lang w:val="lv-LV"/>
        </w:rPr>
        <w:t xml:space="preserve"> sekmēt</w:t>
      </w:r>
      <w:r w:rsidR="005D5B2A">
        <w:rPr>
          <w:lang w:val="lv-LV"/>
        </w:rPr>
        <w:t xml:space="preserve"> </w:t>
      </w:r>
      <w:r w:rsidRPr="00E518E0">
        <w:rPr>
          <w:lang w:val="lv-LV"/>
        </w:rPr>
        <w:t>jauniešu vispusīgu izaugsmi. Vienlaikus fiziski sarežģītu uzdevumu jomā vērtējumi ir nedaudz piesardzīgāki, kas var norādīt uz nevienmērīgu sagatavotības līmeni</w:t>
      </w:r>
      <w:r w:rsidR="001C432E">
        <w:rPr>
          <w:lang w:val="lv-LV"/>
        </w:rPr>
        <w:t xml:space="preserve"> dažādās vienībās</w:t>
      </w:r>
      <w:r w:rsidRPr="00E518E0">
        <w:rPr>
          <w:lang w:val="lv-LV"/>
        </w:rPr>
        <w:t>.</w:t>
      </w:r>
      <w:r w:rsidR="00384F5A">
        <w:rPr>
          <w:lang w:val="lv-LV"/>
        </w:rPr>
        <w:t xml:space="preserve"> </w:t>
      </w:r>
    </w:p>
    <w:p w14:paraId="4B42D818" w14:textId="03DC0B91" w:rsidR="00E518E0" w:rsidRDefault="00E518E0" w:rsidP="00831AF1">
      <w:pPr>
        <w:ind w:left="851"/>
        <w:rPr>
          <w:lang w:val="lv-LV"/>
        </w:rPr>
      </w:pPr>
      <w:r w:rsidRPr="00E518E0">
        <w:rPr>
          <w:lang w:val="lv-LV"/>
        </w:rPr>
        <w:t>Programmai ir arī ietekme uz pilsonisko apziņu. Vairāk nekā 80 % jauniešu norāda, ka labāk izprot valsts vērtības, savu lomu sabiedrībā un izjūt piederību Latvijai. Tomēr daļai jauniešu šī identitāte vēl ir attīstības procesā, un ietekme nav vienmērīga starp dažādām grupām – pozitīvāki vērtējumi biežāk novērojami reģionos un mazāk urbanizētās teritorijās nekā Rīgā.</w:t>
      </w:r>
    </w:p>
    <w:p w14:paraId="07050FEC" w14:textId="77777777" w:rsidR="00384F5A" w:rsidRDefault="00384F5A" w:rsidP="00831AF1">
      <w:pPr>
        <w:ind w:left="851"/>
        <w:rPr>
          <w:lang w:val="lv-LV"/>
        </w:rPr>
      </w:pPr>
    </w:p>
    <w:p w14:paraId="0E33DC42" w14:textId="77777777" w:rsidR="00384F5A" w:rsidRDefault="00384F5A" w:rsidP="00831AF1">
      <w:pPr>
        <w:ind w:left="851"/>
        <w:rPr>
          <w:lang w:val="lv-LV"/>
        </w:rPr>
      </w:pPr>
    </w:p>
    <w:p w14:paraId="619E8246" w14:textId="77777777" w:rsidR="00384F5A" w:rsidRDefault="00384F5A" w:rsidP="00831AF1">
      <w:pPr>
        <w:ind w:left="851"/>
        <w:rPr>
          <w:lang w:val="lv-LV"/>
        </w:rPr>
      </w:pPr>
    </w:p>
    <w:p w14:paraId="18141A40" w14:textId="77777777" w:rsidR="00384F5A" w:rsidRDefault="00384F5A" w:rsidP="00831AF1">
      <w:pPr>
        <w:ind w:left="851"/>
        <w:rPr>
          <w:lang w:val="lv-LV"/>
        </w:rPr>
      </w:pPr>
    </w:p>
    <w:p w14:paraId="69851738" w14:textId="77777777" w:rsidR="00384F5A" w:rsidRDefault="00384F5A" w:rsidP="00831AF1">
      <w:pPr>
        <w:ind w:left="851"/>
        <w:rPr>
          <w:lang w:val="lv-LV"/>
        </w:rPr>
      </w:pPr>
    </w:p>
    <w:p w14:paraId="5FCF56D8" w14:textId="77777777" w:rsidR="00384F5A" w:rsidRDefault="00384F5A" w:rsidP="00831AF1">
      <w:pPr>
        <w:ind w:left="851"/>
        <w:rPr>
          <w:lang w:val="lv-LV"/>
        </w:rPr>
      </w:pPr>
    </w:p>
    <w:p w14:paraId="2AD31BB2" w14:textId="77777777" w:rsidR="00384F5A" w:rsidRDefault="00384F5A" w:rsidP="00831AF1">
      <w:pPr>
        <w:ind w:left="851"/>
        <w:rPr>
          <w:lang w:val="lv-LV"/>
        </w:rPr>
      </w:pPr>
    </w:p>
    <w:p w14:paraId="7368A60E" w14:textId="77777777" w:rsidR="00384F5A" w:rsidRPr="00E518E0" w:rsidRDefault="00384F5A" w:rsidP="00831AF1">
      <w:pPr>
        <w:ind w:left="851"/>
        <w:rPr>
          <w:lang w:val="lv-LV"/>
        </w:rPr>
      </w:pPr>
    </w:p>
    <w:p w14:paraId="2CF425BB" w14:textId="77777777" w:rsidR="00987B46" w:rsidRDefault="00987B46" w:rsidP="000B693D">
      <w:pPr>
        <w:pStyle w:val="GraphTitle"/>
        <w:numPr>
          <w:ilvl w:val="0"/>
          <w:numId w:val="0"/>
        </w:numPr>
        <w:ind w:left="142"/>
      </w:pPr>
      <w:r>
        <w:lastRenderedPageBreak/>
        <w:t>Jaunsargu vērtējums par pilsonisko attieksmi un piederības sajūtu Latvijai, %</w:t>
      </w:r>
    </w:p>
    <w:p w14:paraId="2D5852F2" w14:textId="77777777" w:rsidR="00987B46" w:rsidRDefault="00987B46" w:rsidP="00987B46">
      <w:pPr>
        <w:rPr>
          <w:rFonts w:eastAsia="Times New Roman"/>
          <w:color w:val="000000"/>
        </w:rPr>
      </w:pPr>
      <w:r>
        <w:rPr>
          <w:noProof/>
        </w:rPr>
        <w:drawing>
          <wp:inline distT="0" distB="0" distL="0" distR="0" wp14:anchorId="4382252A" wp14:editId="2495A343">
            <wp:extent cx="6471920" cy="1557196"/>
            <wp:effectExtent l="0" t="0" r="5080" b="5080"/>
            <wp:docPr id="153366799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072E9DA" w14:textId="77777777" w:rsidR="00987B46" w:rsidRPr="004740FC" w:rsidRDefault="00987B46" w:rsidP="00987B46">
      <w:pPr>
        <w:jc w:val="right"/>
        <w:rPr>
          <w:sz w:val="20"/>
          <w:szCs w:val="20"/>
          <w:highlight w:val="yellow"/>
        </w:rPr>
      </w:pPr>
      <w:r w:rsidRPr="004740FC">
        <w:rPr>
          <w:rFonts w:ascii="Arial" w:hAnsi="Arial" w:cs="Arial"/>
          <w:i/>
          <w:iCs/>
          <w:color w:val="737373" w:themeColor="accent3" w:themeShade="80"/>
          <w:sz w:val="20"/>
          <w:szCs w:val="20"/>
        </w:rPr>
        <w:t xml:space="preserve">Avots: </w:t>
      </w:r>
      <w:proofErr w:type="spellStart"/>
      <w:r>
        <w:rPr>
          <w:rFonts w:ascii="Arial" w:hAnsi="Arial" w:cs="Arial"/>
          <w:i/>
          <w:iCs/>
          <w:color w:val="737373" w:themeColor="accent3" w:themeShade="80"/>
          <w:sz w:val="20"/>
          <w:szCs w:val="20"/>
        </w:rPr>
        <w:t>Civitta</w:t>
      </w:r>
      <w:proofErr w:type="spellEnd"/>
      <w:r>
        <w:rPr>
          <w:rFonts w:ascii="Arial" w:hAnsi="Arial" w:cs="Arial"/>
          <w:i/>
          <w:iCs/>
          <w:color w:val="737373" w:themeColor="accent3" w:themeShade="80"/>
          <w:sz w:val="20"/>
          <w:szCs w:val="20"/>
        </w:rPr>
        <w:t xml:space="preserve"> </w:t>
      </w:r>
      <w:proofErr w:type="spellStart"/>
      <w:r>
        <w:rPr>
          <w:rFonts w:ascii="Arial" w:hAnsi="Arial" w:cs="Arial"/>
          <w:i/>
          <w:iCs/>
          <w:color w:val="737373" w:themeColor="accent3" w:themeShade="80"/>
          <w:sz w:val="20"/>
          <w:szCs w:val="20"/>
        </w:rPr>
        <w:t>veiktā</w:t>
      </w:r>
      <w:proofErr w:type="spellEnd"/>
      <w:r>
        <w:rPr>
          <w:rFonts w:ascii="Arial" w:hAnsi="Arial" w:cs="Arial"/>
          <w:i/>
          <w:iCs/>
          <w:color w:val="737373" w:themeColor="accent3" w:themeShade="80"/>
          <w:sz w:val="20"/>
          <w:szCs w:val="20"/>
        </w:rPr>
        <w:t xml:space="preserve"> </w:t>
      </w:r>
      <w:proofErr w:type="spellStart"/>
      <w:r>
        <w:rPr>
          <w:rFonts w:ascii="Arial" w:hAnsi="Arial" w:cs="Arial"/>
          <w:i/>
          <w:iCs/>
          <w:color w:val="737373" w:themeColor="accent3" w:themeShade="80"/>
          <w:sz w:val="20"/>
          <w:szCs w:val="20"/>
        </w:rPr>
        <w:t>jaunsargu</w:t>
      </w:r>
      <w:proofErr w:type="spellEnd"/>
      <w:r>
        <w:rPr>
          <w:rFonts w:ascii="Arial" w:hAnsi="Arial" w:cs="Arial"/>
          <w:i/>
          <w:iCs/>
          <w:color w:val="737373" w:themeColor="accent3" w:themeShade="80"/>
          <w:sz w:val="20"/>
          <w:szCs w:val="20"/>
        </w:rPr>
        <w:t xml:space="preserve"> </w:t>
      </w:r>
      <w:proofErr w:type="spellStart"/>
      <w:r>
        <w:rPr>
          <w:rFonts w:ascii="Arial" w:hAnsi="Arial" w:cs="Arial"/>
          <w:i/>
          <w:iCs/>
          <w:color w:val="737373" w:themeColor="accent3" w:themeShade="80"/>
          <w:sz w:val="20"/>
          <w:szCs w:val="20"/>
        </w:rPr>
        <w:t>aptauja</w:t>
      </w:r>
      <w:proofErr w:type="spellEnd"/>
      <w:r>
        <w:rPr>
          <w:rFonts w:ascii="Arial" w:hAnsi="Arial" w:cs="Arial"/>
          <w:i/>
          <w:iCs/>
          <w:color w:val="737373" w:themeColor="accent3" w:themeShade="80"/>
          <w:sz w:val="20"/>
          <w:szCs w:val="20"/>
        </w:rPr>
        <w:t>, N=644</w:t>
      </w:r>
    </w:p>
    <w:p w14:paraId="7893F1C9" w14:textId="775AFD24" w:rsidR="00E518E0" w:rsidRPr="00E518E0" w:rsidRDefault="00BF2233" w:rsidP="00831AF1">
      <w:pPr>
        <w:ind w:left="851"/>
        <w:rPr>
          <w:lang w:val="lv-LV"/>
        </w:rPr>
      </w:pPr>
      <w:r w:rsidRPr="003B71CB">
        <w:rPr>
          <w:noProof/>
          <w:lang w:val="lv-LV"/>
        </w:rPr>
        <mc:AlternateContent>
          <mc:Choice Requires="wps">
            <w:drawing>
              <wp:anchor distT="0" distB="0" distL="114300" distR="114300" simplePos="0" relativeHeight="251658243" behindDoc="0" locked="0" layoutInCell="1" allowOverlap="1" wp14:anchorId="0DA35E43" wp14:editId="533A23AD">
                <wp:simplePos x="0" y="0"/>
                <wp:positionH relativeFrom="margin">
                  <wp:align>left</wp:align>
                </wp:positionH>
                <wp:positionV relativeFrom="paragraph">
                  <wp:posOffset>25444</wp:posOffset>
                </wp:positionV>
                <wp:extent cx="359410" cy="2592000"/>
                <wp:effectExtent l="0" t="0" r="2540" b="0"/>
                <wp:wrapThrough wrapText="bothSides">
                  <wp:wrapPolygon edited="0">
                    <wp:start x="0" y="0"/>
                    <wp:lineTo x="0" y="21436"/>
                    <wp:lineTo x="20608" y="21436"/>
                    <wp:lineTo x="20608" y="0"/>
                    <wp:lineTo x="0" y="0"/>
                  </wp:wrapPolygon>
                </wp:wrapThrough>
                <wp:docPr id="800672646" name="Rectangle 2"/>
                <wp:cNvGraphicFramePr/>
                <a:graphic xmlns:a="http://schemas.openxmlformats.org/drawingml/2006/main">
                  <a:graphicData uri="http://schemas.microsoft.com/office/word/2010/wordprocessingShape">
                    <wps:wsp>
                      <wps:cNvSpPr/>
                      <wps:spPr>
                        <a:xfrm>
                          <a:off x="0" y="0"/>
                          <a:ext cx="359410" cy="259200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xmlns:c="http://schemas.openxmlformats.org/drawingml/2006/chart" xmlns:arto="http://schemas.microsoft.com/office/word/2006/arto">
            <w:pict>
              <v:rect id="Rectangle 2" style="position:absolute;margin-left:0;margin-top:2pt;width:28.3pt;height:204.1pt;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f3b8ff [665]" stroked="f" strokeweight="1pt" w14:anchorId="000552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">
                <w10:wrap type="through" anchorx="margin"/>
              </v:rect>
            </w:pict>
          </mc:Fallback>
        </mc:AlternateContent>
      </w:r>
      <w:r w:rsidR="00E518E0" w:rsidRPr="00E518E0">
        <w:rPr>
          <w:lang w:val="lv-LV"/>
        </w:rPr>
        <w:t xml:space="preserve">Programmas saturs kopumā atbilst </w:t>
      </w:r>
      <w:r w:rsidR="00081D5F">
        <w:rPr>
          <w:lang w:val="lv-LV"/>
        </w:rPr>
        <w:t xml:space="preserve">izvirzītajiem </w:t>
      </w:r>
      <w:r w:rsidR="00E518E0" w:rsidRPr="00E518E0">
        <w:rPr>
          <w:lang w:val="lv-LV"/>
        </w:rPr>
        <w:t xml:space="preserve">mērķiem – tas nodrošina strukturētu, pakāpenisku prasmju apguvi un efektīvi attīsta disciplīnu, atbildību un praktiskās iemaņas. Tomēr </w:t>
      </w:r>
      <w:r w:rsidR="00C83DBC">
        <w:rPr>
          <w:lang w:val="lv-LV"/>
        </w:rPr>
        <w:t>analīze</w:t>
      </w:r>
      <w:r w:rsidR="00E518E0" w:rsidRPr="00E518E0">
        <w:rPr>
          <w:lang w:val="lv-LV"/>
        </w:rPr>
        <w:t xml:space="preserve"> identificē arī </w:t>
      </w:r>
      <w:r w:rsidR="003452B8">
        <w:rPr>
          <w:lang w:val="lv-LV"/>
        </w:rPr>
        <w:t xml:space="preserve">nepieciešamos </w:t>
      </w:r>
      <w:r w:rsidR="00E518E0" w:rsidRPr="00E518E0">
        <w:rPr>
          <w:lang w:val="lv-LV"/>
        </w:rPr>
        <w:t>uzlabojumu virzien</w:t>
      </w:r>
      <w:r w:rsidR="003452B8">
        <w:rPr>
          <w:lang w:val="lv-LV"/>
        </w:rPr>
        <w:t>us</w:t>
      </w:r>
      <w:r w:rsidR="00E518E0" w:rsidRPr="00E518E0">
        <w:rPr>
          <w:lang w:val="lv-LV"/>
        </w:rPr>
        <w:t>. Biežāk minēta tēmu atkārtošanās</w:t>
      </w:r>
      <w:r w:rsidR="00874683">
        <w:rPr>
          <w:lang w:val="lv-LV"/>
        </w:rPr>
        <w:t xml:space="preserve"> starp mācību gadiem</w:t>
      </w:r>
      <w:r w:rsidR="00E518E0" w:rsidRPr="00E518E0">
        <w:rPr>
          <w:lang w:val="lv-LV"/>
        </w:rPr>
        <w:t xml:space="preserve">, nepietiekams </w:t>
      </w:r>
      <w:r w:rsidR="00316CBF">
        <w:rPr>
          <w:lang w:val="lv-LV"/>
        </w:rPr>
        <w:t xml:space="preserve">mūsdienu </w:t>
      </w:r>
      <w:r w:rsidR="00E518E0" w:rsidRPr="00E518E0">
        <w:rPr>
          <w:lang w:val="lv-LV"/>
        </w:rPr>
        <w:t>tehnoloģiju (piemēram, dronu</w:t>
      </w:r>
      <w:r w:rsidR="00A04C98">
        <w:rPr>
          <w:lang w:val="lv-LV"/>
        </w:rPr>
        <w:t xml:space="preserve"> izmantošanas</w:t>
      </w:r>
      <w:r w:rsidR="00E518E0" w:rsidRPr="00E518E0">
        <w:rPr>
          <w:lang w:val="lv-LV"/>
        </w:rPr>
        <w:t xml:space="preserve"> un kiberdrošības</w:t>
      </w:r>
      <w:r w:rsidR="00C73E44">
        <w:rPr>
          <w:lang w:val="lv-LV"/>
        </w:rPr>
        <w:t>,</w:t>
      </w:r>
      <w:r w:rsidR="00E518E0" w:rsidRPr="00E518E0">
        <w:rPr>
          <w:lang w:val="lv-LV"/>
        </w:rPr>
        <w:t xml:space="preserve"> satura dziļums, kā arī ierobežots materiāltehniskais nodrošinājums. Tāpat krīzes vadības prasmes tiek apgūtas mazāk padziļināti </w:t>
      </w:r>
      <w:r w:rsidR="00A06CCE">
        <w:rPr>
          <w:lang w:val="lv-LV"/>
        </w:rPr>
        <w:t>salīdzinājumā ar</w:t>
      </w:r>
      <w:r w:rsidR="00A06CCE" w:rsidRPr="00E518E0">
        <w:rPr>
          <w:lang w:val="lv-LV"/>
        </w:rPr>
        <w:t xml:space="preserve"> </w:t>
      </w:r>
      <w:r w:rsidR="00E518E0" w:rsidRPr="00E518E0">
        <w:rPr>
          <w:lang w:val="lv-LV"/>
        </w:rPr>
        <w:t>citā</w:t>
      </w:r>
      <w:r w:rsidR="00A06CCE">
        <w:rPr>
          <w:lang w:val="lv-LV"/>
        </w:rPr>
        <w:t>m</w:t>
      </w:r>
      <w:r w:rsidR="00E518E0" w:rsidRPr="00E518E0">
        <w:rPr>
          <w:lang w:val="lv-LV"/>
        </w:rPr>
        <w:t xml:space="preserve"> programm</w:t>
      </w:r>
      <w:r w:rsidR="00A06CCE">
        <w:rPr>
          <w:lang w:val="lv-LV"/>
        </w:rPr>
        <w:t>as jomām</w:t>
      </w:r>
      <w:r w:rsidR="00E518E0" w:rsidRPr="00E518E0">
        <w:rPr>
          <w:lang w:val="lv-LV"/>
        </w:rPr>
        <w:t>.</w:t>
      </w:r>
    </w:p>
    <w:p w14:paraId="11135F0D" w14:textId="593DA8B7" w:rsidR="00E518E0" w:rsidRDefault="00E518E0" w:rsidP="00831AF1">
      <w:pPr>
        <w:ind w:left="851"/>
        <w:rPr>
          <w:lang w:val="lv-LV"/>
        </w:rPr>
      </w:pPr>
      <w:r w:rsidRPr="00E518E0">
        <w:rPr>
          <w:lang w:val="lv-LV"/>
        </w:rPr>
        <w:t>Mācību metodes kopumā tiek vērtētas pozitīvi, īpaši praktiskā pieeja un nometnes. Tieši nometnes ir viens no spēcīgākajiem programmas elementiem – 93 % jauniešu tās uzskata par interesantām, 85 % atzīst, ka tajās apgūst noderīgas prasmes, un vairāk nekā 80 % norāda uz pozitīvu ietekmi uz patstāvību un pašpārliecību. Tajā pašā laikā jaunieši pauž vēlmi pēc vairāk praktiskām aktivitātēm, biežākiem pasākumiem un labāka ekipējuma.</w:t>
      </w:r>
    </w:p>
    <w:p w14:paraId="49726BD3" w14:textId="01EF56F9" w:rsidR="00C853DE" w:rsidRDefault="00E518E0" w:rsidP="00831AF1">
      <w:pPr>
        <w:ind w:left="851"/>
        <w:rPr>
          <w:lang w:val="lv-LV"/>
        </w:rPr>
      </w:pPr>
      <w:r w:rsidRPr="00E518E0">
        <w:rPr>
          <w:lang w:val="lv-LV"/>
        </w:rPr>
        <w:t xml:space="preserve">Programmas ietekme uz nākotnes izvēlēm ir </w:t>
      </w:r>
      <w:r w:rsidR="00FE20D0">
        <w:rPr>
          <w:lang w:val="lv-LV"/>
        </w:rPr>
        <w:t>nozīmīga</w:t>
      </w:r>
      <w:r w:rsidR="00FE20D0" w:rsidRPr="00E518E0">
        <w:rPr>
          <w:lang w:val="lv-LV"/>
        </w:rPr>
        <w:t xml:space="preserve"> </w:t>
      </w:r>
      <w:r w:rsidRPr="00E518E0">
        <w:rPr>
          <w:lang w:val="lv-LV"/>
        </w:rPr>
        <w:t>– 66 % jauniešu norāda, ka dalība Jaunsardzē</w:t>
      </w:r>
      <w:r w:rsidR="004C327F">
        <w:rPr>
          <w:lang w:val="lv-LV"/>
        </w:rPr>
        <w:t xml:space="preserve"> ir</w:t>
      </w:r>
      <w:r w:rsidRPr="00E518E0">
        <w:rPr>
          <w:lang w:val="lv-LV"/>
        </w:rPr>
        <w:t xml:space="preserve"> ietekmējusi viņu izglītības vai karjeras plānus</w:t>
      </w:r>
      <w:r w:rsidR="00AA4A5C">
        <w:rPr>
          <w:lang w:val="lv-LV"/>
        </w:rPr>
        <w:t>, k</w:t>
      </w:r>
      <w:r w:rsidRPr="00E518E0">
        <w:rPr>
          <w:lang w:val="lv-LV"/>
        </w:rPr>
        <w:t xml:space="preserve">as </w:t>
      </w:r>
      <w:r w:rsidR="00AA4A5C">
        <w:rPr>
          <w:lang w:val="lv-LV"/>
        </w:rPr>
        <w:t>ap</w:t>
      </w:r>
      <w:r w:rsidRPr="00E518E0">
        <w:rPr>
          <w:lang w:val="lv-LV"/>
        </w:rPr>
        <w:t>liecina, ka programma darbojas arī kā karjeras orientācijas instruments.</w:t>
      </w:r>
    </w:p>
    <w:p w14:paraId="59CF4CE7" w14:textId="1A18434B" w:rsidR="00E518E0" w:rsidRDefault="00E15108" w:rsidP="00BF2233">
      <w:pPr>
        <w:pStyle w:val="Heading2"/>
        <w:rPr>
          <w:lang w:val="lv-LV"/>
        </w:rPr>
      </w:pPr>
      <w:r>
        <w:rPr>
          <w:noProof/>
          <w:lang w:val="lv-LV"/>
        </w:rPr>
        <w:drawing>
          <wp:anchor distT="0" distB="0" distL="114300" distR="114300" simplePos="0" relativeHeight="251658253" behindDoc="0" locked="0" layoutInCell="1" allowOverlap="1" wp14:anchorId="7F3BA104" wp14:editId="681A668B">
            <wp:simplePos x="0" y="0"/>
            <wp:positionH relativeFrom="margin">
              <wp:align>left</wp:align>
            </wp:positionH>
            <wp:positionV relativeFrom="paragraph">
              <wp:posOffset>4897</wp:posOffset>
            </wp:positionV>
            <wp:extent cx="540000" cy="540000"/>
            <wp:effectExtent l="0" t="0" r="0" b="0"/>
            <wp:wrapSquare wrapText="bothSides"/>
            <wp:docPr id="2059363262" name="Graphic 12" descr="Book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63262" name="Graphic 2059363262" descr="Books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r w:rsidR="0080341D" w:rsidRPr="0080341D">
        <w:rPr>
          <w:lang w:val="lv-LV"/>
        </w:rPr>
        <w:t>Izglītības iestāžu iesaiste valsts aizsardzības mācības un jaunsargu interešu izglītības programmas nodrošināšanā</w:t>
      </w:r>
    </w:p>
    <w:p w14:paraId="75D6CBC0" w14:textId="23F0CC6E" w:rsidR="00AA171A" w:rsidRDefault="004E202C" w:rsidP="00F3411E">
      <w:pPr>
        <w:rPr>
          <w:lang w:val="lv-LV"/>
        </w:rPr>
      </w:pPr>
      <w:r>
        <w:rPr>
          <w:lang w:val="lv-LV"/>
        </w:rPr>
        <w:t>I</w:t>
      </w:r>
      <w:r w:rsidR="00AA171A" w:rsidRPr="00AA171A">
        <w:rPr>
          <w:lang w:val="lv-LV"/>
        </w:rPr>
        <w:t xml:space="preserve">zglītības iestādes Latvijā ir spējīgas nodrošināt VAM īstenošanai nepieciešamo atbalstu, un </w:t>
      </w:r>
      <w:r w:rsidR="000C6324">
        <w:rPr>
          <w:lang w:val="lv-LV"/>
        </w:rPr>
        <w:t>programmas</w:t>
      </w:r>
      <w:r w:rsidR="000C6324" w:rsidRPr="00AA171A">
        <w:rPr>
          <w:lang w:val="lv-LV"/>
        </w:rPr>
        <w:t xml:space="preserve"> </w:t>
      </w:r>
      <w:r w:rsidR="00AA171A" w:rsidRPr="00AA171A">
        <w:rPr>
          <w:lang w:val="lv-LV"/>
        </w:rPr>
        <w:t>ieviešana lielākoties tiek vērtēta kā veiksmīga. Lielākā daļa skolu norāda, ka spēj nodrošināt gan nepieciešamās telpas (81 %), gan vidi praktisko prasmju apguvei (73 %), tomēr pastāv arī izņēmumi, kur infrastruktūra nav pietiekama</w:t>
      </w:r>
      <w:r w:rsidR="000224C0">
        <w:rPr>
          <w:lang w:val="lv-LV"/>
        </w:rPr>
        <w:t xml:space="preserve">, </w:t>
      </w:r>
      <w:r w:rsidR="00485FFA" w:rsidRPr="00485FFA">
        <w:rPr>
          <w:lang w:val="lv-LV"/>
        </w:rPr>
        <w:t xml:space="preserve">īpaši attiecībā </w:t>
      </w:r>
      <w:r w:rsidR="00AA171A" w:rsidRPr="00AA171A">
        <w:rPr>
          <w:lang w:val="lv-LV"/>
        </w:rPr>
        <w:t>uz praktiskajām nodarbībām, piemēram, šaušanu vai orientēšanos, kur bieži trūkst piemērotu ārtelpu vai specializēta aprīkojuma.</w:t>
      </w:r>
    </w:p>
    <w:p w14:paraId="0BDC3469" w14:textId="4B8E41CF" w:rsidR="00721309" w:rsidRDefault="00721309" w:rsidP="00657F54">
      <w:pPr>
        <w:pStyle w:val="GraphTitle"/>
        <w:numPr>
          <w:ilvl w:val="0"/>
          <w:numId w:val="0"/>
        </w:numPr>
      </w:pPr>
      <w:r w:rsidRPr="00807126">
        <w:t>Izglītības iestāžu pārstāvju vērtējums par to, vai skola spēj nodrošināt nepieciešamo atbalstu VAM nodarbībām</w:t>
      </w:r>
      <w:r>
        <w:t>, %</w:t>
      </w:r>
    </w:p>
    <w:p w14:paraId="19D35D37" w14:textId="77777777" w:rsidR="00721309" w:rsidRDefault="00721309" w:rsidP="00721309">
      <w:pPr>
        <w:rPr>
          <w:highlight w:val="yellow"/>
        </w:rPr>
      </w:pPr>
      <w:r>
        <w:rPr>
          <w:noProof/>
        </w:rPr>
        <w:drawing>
          <wp:inline distT="0" distB="0" distL="0" distR="0" wp14:anchorId="435389B8" wp14:editId="2673AA61">
            <wp:extent cx="5902325" cy="1421394"/>
            <wp:effectExtent l="0" t="0" r="3175" b="7620"/>
            <wp:docPr id="176950452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CABBBE1" w14:textId="77777777" w:rsidR="00721309" w:rsidRPr="004740FC" w:rsidRDefault="00721309" w:rsidP="00721309">
      <w:pPr>
        <w:jc w:val="right"/>
        <w:rPr>
          <w:sz w:val="20"/>
          <w:szCs w:val="20"/>
          <w:highlight w:val="yellow"/>
        </w:rPr>
      </w:pPr>
      <w:r w:rsidRPr="004740FC">
        <w:rPr>
          <w:rFonts w:ascii="Arial" w:hAnsi="Arial" w:cs="Arial"/>
          <w:i/>
          <w:iCs/>
          <w:color w:val="737373" w:themeColor="accent3" w:themeShade="80"/>
          <w:sz w:val="20"/>
          <w:szCs w:val="20"/>
        </w:rPr>
        <w:t xml:space="preserve">Avots: </w:t>
      </w:r>
      <w:proofErr w:type="spellStart"/>
      <w:r>
        <w:rPr>
          <w:rFonts w:ascii="Arial" w:hAnsi="Arial" w:cs="Arial"/>
          <w:i/>
          <w:iCs/>
          <w:color w:val="737373" w:themeColor="accent3" w:themeShade="80"/>
          <w:sz w:val="20"/>
          <w:szCs w:val="20"/>
        </w:rPr>
        <w:t>Civitta</w:t>
      </w:r>
      <w:proofErr w:type="spellEnd"/>
      <w:r>
        <w:rPr>
          <w:rFonts w:ascii="Arial" w:hAnsi="Arial" w:cs="Arial"/>
          <w:i/>
          <w:iCs/>
          <w:color w:val="737373" w:themeColor="accent3" w:themeShade="80"/>
          <w:sz w:val="20"/>
          <w:szCs w:val="20"/>
        </w:rPr>
        <w:t xml:space="preserve"> </w:t>
      </w:r>
      <w:proofErr w:type="spellStart"/>
      <w:r>
        <w:rPr>
          <w:rFonts w:ascii="Arial" w:hAnsi="Arial" w:cs="Arial"/>
          <w:i/>
          <w:iCs/>
          <w:color w:val="737373" w:themeColor="accent3" w:themeShade="80"/>
          <w:sz w:val="20"/>
          <w:szCs w:val="20"/>
        </w:rPr>
        <w:t>veiktā</w:t>
      </w:r>
      <w:proofErr w:type="spellEnd"/>
      <w:r>
        <w:rPr>
          <w:rFonts w:ascii="Arial" w:hAnsi="Arial" w:cs="Arial"/>
          <w:i/>
          <w:iCs/>
          <w:color w:val="737373" w:themeColor="accent3" w:themeShade="80"/>
          <w:sz w:val="20"/>
          <w:szCs w:val="20"/>
        </w:rPr>
        <w:t xml:space="preserve"> </w:t>
      </w:r>
      <w:proofErr w:type="spellStart"/>
      <w:r>
        <w:rPr>
          <w:rFonts w:ascii="Arial" w:hAnsi="Arial" w:cs="Arial"/>
          <w:i/>
          <w:iCs/>
          <w:color w:val="737373" w:themeColor="accent3" w:themeShade="80"/>
          <w:sz w:val="20"/>
          <w:szCs w:val="20"/>
        </w:rPr>
        <w:t>izglītības</w:t>
      </w:r>
      <w:proofErr w:type="spellEnd"/>
      <w:r>
        <w:rPr>
          <w:rFonts w:ascii="Arial" w:hAnsi="Arial" w:cs="Arial"/>
          <w:i/>
          <w:iCs/>
          <w:color w:val="737373" w:themeColor="accent3" w:themeShade="80"/>
          <w:sz w:val="20"/>
          <w:szCs w:val="20"/>
        </w:rPr>
        <w:t xml:space="preserve"> </w:t>
      </w:r>
      <w:proofErr w:type="spellStart"/>
      <w:r>
        <w:rPr>
          <w:rFonts w:ascii="Arial" w:hAnsi="Arial" w:cs="Arial"/>
          <w:i/>
          <w:iCs/>
          <w:color w:val="737373" w:themeColor="accent3" w:themeShade="80"/>
          <w:sz w:val="20"/>
          <w:szCs w:val="20"/>
        </w:rPr>
        <w:t>iestāžu</w:t>
      </w:r>
      <w:proofErr w:type="spellEnd"/>
      <w:r>
        <w:rPr>
          <w:rFonts w:ascii="Arial" w:hAnsi="Arial" w:cs="Arial"/>
          <w:i/>
          <w:iCs/>
          <w:color w:val="737373" w:themeColor="accent3" w:themeShade="80"/>
          <w:sz w:val="20"/>
          <w:szCs w:val="20"/>
        </w:rPr>
        <w:t xml:space="preserve"> </w:t>
      </w:r>
      <w:proofErr w:type="spellStart"/>
      <w:r>
        <w:rPr>
          <w:rFonts w:ascii="Arial" w:hAnsi="Arial" w:cs="Arial"/>
          <w:i/>
          <w:iCs/>
          <w:color w:val="737373" w:themeColor="accent3" w:themeShade="80"/>
          <w:sz w:val="20"/>
          <w:szCs w:val="20"/>
        </w:rPr>
        <w:t>pārstāvju</w:t>
      </w:r>
      <w:proofErr w:type="spellEnd"/>
      <w:r>
        <w:rPr>
          <w:rFonts w:ascii="Arial" w:hAnsi="Arial" w:cs="Arial"/>
          <w:i/>
          <w:iCs/>
          <w:color w:val="737373" w:themeColor="accent3" w:themeShade="80"/>
          <w:sz w:val="20"/>
          <w:szCs w:val="20"/>
        </w:rPr>
        <w:t xml:space="preserve"> </w:t>
      </w:r>
      <w:proofErr w:type="spellStart"/>
      <w:r>
        <w:rPr>
          <w:rFonts w:ascii="Arial" w:hAnsi="Arial" w:cs="Arial"/>
          <w:i/>
          <w:iCs/>
          <w:color w:val="737373" w:themeColor="accent3" w:themeShade="80"/>
          <w:sz w:val="20"/>
          <w:szCs w:val="20"/>
        </w:rPr>
        <w:t>aptauja</w:t>
      </w:r>
      <w:proofErr w:type="spellEnd"/>
      <w:r>
        <w:rPr>
          <w:rFonts w:ascii="Arial" w:hAnsi="Arial" w:cs="Arial"/>
          <w:i/>
          <w:iCs/>
          <w:color w:val="737373" w:themeColor="accent3" w:themeShade="80"/>
          <w:sz w:val="20"/>
          <w:szCs w:val="20"/>
        </w:rPr>
        <w:t>, N=124</w:t>
      </w:r>
    </w:p>
    <w:p w14:paraId="37F89ACE" w14:textId="297CA9D5" w:rsidR="00AA171A" w:rsidRPr="00AA171A" w:rsidRDefault="006466FC" w:rsidP="00AA171A">
      <w:pPr>
        <w:ind w:left="851"/>
        <w:rPr>
          <w:lang w:val="lv-LV"/>
        </w:rPr>
      </w:pPr>
      <w:r w:rsidRPr="003B71CB">
        <w:rPr>
          <w:noProof/>
          <w:lang w:val="lv-LV"/>
        </w:rPr>
        <w:lastRenderedPageBreak/>
        <mc:AlternateContent>
          <mc:Choice Requires="wps">
            <w:drawing>
              <wp:anchor distT="0" distB="0" distL="114300" distR="114300" simplePos="0" relativeHeight="251658244" behindDoc="0" locked="0" layoutInCell="1" allowOverlap="1" wp14:anchorId="4C1E1670" wp14:editId="4BA0E193">
                <wp:simplePos x="0" y="0"/>
                <wp:positionH relativeFrom="margin">
                  <wp:posOffset>22225</wp:posOffset>
                </wp:positionH>
                <wp:positionV relativeFrom="paragraph">
                  <wp:posOffset>34925</wp:posOffset>
                </wp:positionV>
                <wp:extent cx="359410" cy="5040000"/>
                <wp:effectExtent l="0" t="0" r="2540" b="8255"/>
                <wp:wrapThrough wrapText="bothSides">
                  <wp:wrapPolygon edited="0">
                    <wp:start x="0" y="0"/>
                    <wp:lineTo x="0" y="21554"/>
                    <wp:lineTo x="20608" y="21554"/>
                    <wp:lineTo x="20608" y="0"/>
                    <wp:lineTo x="0" y="0"/>
                  </wp:wrapPolygon>
                </wp:wrapThrough>
                <wp:docPr id="369898938" name="Rectangle 2"/>
                <wp:cNvGraphicFramePr/>
                <a:graphic xmlns:a="http://schemas.openxmlformats.org/drawingml/2006/main">
                  <a:graphicData uri="http://schemas.microsoft.com/office/word/2010/wordprocessingShape">
                    <wps:wsp>
                      <wps:cNvSpPr/>
                      <wps:spPr>
                        <a:xfrm>
                          <a:off x="0" y="0"/>
                          <a:ext cx="359410" cy="504000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xmlns:c="http://schemas.openxmlformats.org/drawingml/2006/chart">
            <w:pict>
              <v:rect id="Rectangle 2" style="position:absolute;margin-left:1.75pt;margin-top:2.75pt;width:28.3pt;height:396.8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3b8ff [665]" stroked="f" strokeweight="1pt" w14:anchorId="16E8D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">
                <w10:wrap type="through" anchorx="margin"/>
              </v:rect>
            </w:pict>
          </mc:Fallback>
        </mc:AlternateContent>
      </w:r>
      <w:r w:rsidR="00AA171A" w:rsidRPr="00AA171A">
        <w:rPr>
          <w:lang w:val="lv-LV"/>
        </w:rPr>
        <w:t xml:space="preserve">Neraugoties uz kopumā pozitīvo situāciju, izaicinājums ir mācību procesa plānošana. To kā galveno problēmu norāda 45 % skolu pārstāvju. Esošais modelis </w:t>
      </w:r>
      <w:r w:rsidR="00DE68B3">
        <w:rPr>
          <w:lang w:val="lv-LV"/>
        </w:rPr>
        <w:t>(</w:t>
      </w:r>
      <w:r w:rsidR="00AA171A" w:rsidRPr="00AA171A">
        <w:rPr>
          <w:lang w:val="lv-LV"/>
        </w:rPr>
        <w:t>8 mācību stundas vienu reizi mēnesī</w:t>
      </w:r>
      <w:r w:rsidR="00DE68B3">
        <w:rPr>
          <w:lang w:val="lv-LV"/>
        </w:rPr>
        <w:t>)</w:t>
      </w:r>
      <w:r w:rsidR="00AA171A" w:rsidRPr="00AA171A">
        <w:rPr>
          <w:lang w:val="lv-LV"/>
        </w:rPr>
        <w:t xml:space="preserve"> rada grūtības </w:t>
      </w:r>
      <w:r w:rsidR="00DE68B3">
        <w:rPr>
          <w:lang w:val="lv-LV"/>
        </w:rPr>
        <w:t xml:space="preserve">VAM </w:t>
      </w:r>
      <w:r w:rsidR="00AA171A" w:rsidRPr="00AA171A">
        <w:rPr>
          <w:lang w:val="lv-LV"/>
        </w:rPr>
        <w:t xml:space="preserve">integrēt kopējā mācību grafikā, nodrošinot līdzsvaru ar citiem priekšmetiem un izvairoties no papildu slodzes skolēniem un pedagogiem. Daļa izglītības iestāžu ierosina alternatīvus </w:t>
      </w:r>
      <w:r w:rsidR="00AB4D19">
        <w:rPr>
          <w:lang w:val="lv-LV"/>
        </w:rPr>
        <w:t xml:space="preserve">organizatoriskos </w:t>
      </w:r>
      <w:r w:rsidR="00AA171A" w:rsidRPr="00AA171A">
        <w:rPr>
          <w:lang w:val="lv-LV"/>
        </w:rPr>
        <w:t>risinājumus, piemēram, biežākas, bet īsākas nodarbības (piemēram, reizi divās nedēļās), kas varētu uzlabot gan mācību kvalitāti, gan organizatorisko efektivitāti.</w:t>
      </w:r>
    </w:p>
    <w:p w14:paraId="56923F2B" w14:textId="7659C2EA" w:rsidR="00AA171A" w:rsidRPr="00AA171A" w:rsidRDefault="00AA171A" w:rsidP="00AA171A">
      <w:pPr>
        <w:ind w:left="851"/>
        <w:rPr>
          <w:lang w:val="lv-LV"/>
        </w:rPr>
      </w:pPr>
      <w:r w:rsidRPr="00AA171A">
        <w:rPr>
          <w:lang w:val="lv-LV"/>
        </w:rPr>
        <w:t xml:space="preserve">Izglītības iestāžu izpratne par nepieciešamo atbalstu VAM īstenošanai kopumā ir laba un ar laiku </w:t>
      </w:r>
      <w:r w:rsidR="00ED253A">
        <w:rPr>
          <w:lang w:val="lv-LV"/>
        </w:rPr>
        <w:t>nostiprinās,</w:t>
      </w:r>
      <w:r w:rsidRPr="00AA171A">
        <w:rPr>
          <w:lang w:val="lv-LV"/>
        </w:rPr>
        <w:t xml:space="preserve"> </w:t>
      </w:r>
      <w:r w:rsidR="00ED253A">
        <w:rPr>
          <w:lang w:val="lv-LV"/>
        </w:rPr>
        <w:t>ī</w:t>
      </w:r>
      <w:r w:rsidRPr="00AA171A">
        <w:rPr>
          <w:lang w:val="lv-LV"/>
        </w:rPr>
        <w:t xml:space="preserve">paši pozitīva tā ir skolās, kas programmu ieviesa brīvprātīgi. Svarīgs </w:t>
      </w:r>
      <w:r w:rsidR="007057BF">
        <w:rPr>
          <w:lang w:val="lv-LV"/>
        </w:rPr>
        <w:t xml:space="preserve">kontekstuāls </w:t>
      </w:r>
      <w:r w:rsidRPr="00AA171A">
        <w:rPr>
          <w:lang w:val="lv-LV"/>
        </w:rPr>
        <w:t>faktors ir arī skolas vadības attieksme</w:t>
      </w:r>
      <w:r w:rsidR="007057BF">
        <w:rPr>
          <w:lang w:val="lv-LV"/>
        </w:rPr>
        <w:t>, kas</w:t>
      </w:r>
      <w:r w:rsidRPr="00AA171A">
        <w:rPr>
          <w:lang w:val="lv-LV"/>
        </w:rPr>
        <w:t xml:space="preserve"> ietekmē gan praktisk</w:t>
      </w:r>
      <w:r w:rsidR="007057BF">
        <w:rPr>
          <w:lang w:val="lv-LV"/>
        </w:rPr>
        <w:t>ā</w:t>
      </w:r>
      <w:r w:rsidRPr="00AA171A">
        <w:rPr>
          <w:lang w:val="lv-LV"/>
        </w:rPr>
        <w:t xml:space="preserve"> atbalst</w:t>
      </w:r>
      <w:r w:rsidR="007057BF">
        <w:rPr>
          <w:lang w:val="lv-LV"/>
        </w:rPr>
        <w:t>a kvalitāti</w:t>
      </w:r>
      <w:r w:rsidRPr="00AA171A">
        <w:rPr>
          <w:lang w:val="lv-LV"/>
        </w:rPr>
        <w:t>, gan kopējo attieksmi pret VAM</w:t>
      </w:r>
      <w:r w:rsidR="007057BF">
        <w:rPr>
          <w:lang w:val="lv-LV"/>
        </w:rPr>
        <w:t xml:space="preserve"> iestādē</w:t>
      </w:r>
      <w:r w:rsidRPr="00AA171A">
        <w:rPr>
          <w:lang w:val="lv-LV"/>
        </w:rPr>
        <w:t xml:space="preserve">. </w:t>
      </w:r>
    </w:p>
    <w:p w14:paraId="432B78EC" w14:textId="3F7271E9" w:rsidR="00AA171A" w:rsidRPr="00AA171A" w:rsidRDefault="00AA171A" w:rsidP="00AA171A">
      <w:pPr>
        <w:ind w:left="851"/>
        <w:rPr>
          <w:lang w:val="lv-LV"/>
        </w:rPr>
      </w:pPr>
      <w:r w:rsidRPr="00AA171A">
        <w:rPr>
          <w:lang w:val="lv-LV"/>
        </w:rPr>
        <w:t>VAM saturs kopumā netiek uztverts kā pārklājošs ar citiem mācību priekšmetiem</w:t>
      </w:r>
      <w:r w:rsidR="00BA4ECC">
        <w:rPr>
          <w:lang w:val="lv-LV"/>
        </w:rPr>
        <w:t>, bet</w:t>
      </w:r>
      <w:r w:rsidRPr="00AA171A">
        <w:rPr>
          <w:lang w:val="lv-LV"/>
        </w:rPr>
        <w:t xml:space="preserve"> </w:t>
      </w:r>
      <w:r w:rsidR="00BA4ECC">
        <w:rPr>
          <w:lang w:val="lv-LV"/>
        </w:rPr>
        <w:t>d</w:t>
      </w:r>
      <w:r w:rsidRPr="00AA171A">
        <w:rPr>
          <w:lang w:val="lv-LV"/>
        </w:rPr>
        <w:t xml:space="preserve">rīzāk </w:t>
      </w:r>
      <w:r w:rsidR="00BA4ECC">
        <w:rPr>
          <w:lang w:val="lv-LV"/>
        </w:rPr>
        <w:t xml:space="preserve">kā </w:t>
      </w:r>
      <w:r w:rsidRPr="00AA171A">
        <w:rPr>
          <w:lang w:val="lv-LV"/>
        </w:rPr>
        <w:t>t</w:t>
      </w:r>
      <w:r w:rsidR="00BA4ECC">
        <w:rPr>
          <w:lang w:val="lv-LV"/>
        </w:rPr>
        <w:t>o</w:t>
      </w:r>
      <w:r w:rsidRPr="00AA171A">
        <w:rPr>
          <w:lang w:val="lv-LV"/>
        </w:rPr>
        <w:t xml:space="preserve"> papildin</w:t>
      </w:r>
      <w:r w:rsidR="00BA4ECC">
        <w:rPr>
          <w:lang w:val="lv-LV"/>
        </w:rPr>
        <w:t>ājums</w:t>
      </w:r>
      <w:r w:rsidRPr="00AA171A">
        <w:rPr>
          <w:lang w:val="lv-LV"/>
        </w:rPr>
        <w:t xml:space="preserve"> ar praktisku, uz darbību vērstu pieeju. Daļēja satura </w:t>
      </w:r>
      <w:r w:rsidR="00E63C17">
        <w:rPr>
          <w:lang w:val="lv-LV"/>
        </w:rPr>
        <w:t>sasaukšanās</w:t>
      </w:r>
      <w:r w:rsidR="00E63C17" w:rsidRPr="00AA171A">
        <w:rPr>
          <w:lang w:val="lv-LV"/>
        </w:rPr>
        <w:t xml:space="preserve"> </w:t>
      </w:r>
      <w:r w:rsidRPr="00AA171A">
        <w:rPr>
          <w:lang w:val="lv-LV"/>
        </w:rPr>
        <w:t>novērojama ar vēsturi, sociālajām zinībām un sportu, taču arī šajos gadījumos VAM piedāvā atšķirīgu – praktiskāku un militāri orientētu – skatījumu, kas padziļina skolēnu izpratni</w:t>
      </w:r>
      <w:r w:rsidR="00E63C17">
        <w:rPr>
          <w:lang w:val="lv-LV"/>
        </w:rPr>
        <w:t xml:space="preserve"> par attiecīgajām tēmām</w:t>
      </w:r>
      <w:r w:rsidRPr="00AA171A">
        <w:rPr>
          <w:lang w:val="lv-LV"/>
        </w:rPr>
        <w:t>.</w:t>
      </w:r>
    </w:p>
    <w:p w14:paraId="1FCC59B2" w14:textId="14E1DBB5" w:rsidR="00AA171A" w:rsidRPr="00AA171A" w:rsidRDefault="00AA171A" w:rsidP="009D038C">
      <w:pPr>
        <w:ind w:left="851"/>
        <w:rPr>
          <w:lang w:val="lv-LV"/>
        </w:rPr>
      </w:pPr>
      <w:r w:rsidRPr="00AA171A">
        <w:rPr>
          <w:lang w:val="lv-LV"/>
        </w:rPr>
        <w:t xml:space="preserve">Jaunsargu interešu izglītības programmas īstenošana </w:t>
      </w:r>
      <w:r w:rsidR="008D3E43">
        <w:rPr>
          <w:lang w:val="lv-LV"/>
        </w:rPr>
        <w:t xml:space="preserve">izglītības iestādēs </w:t>
      </w:r>
      <w:r w:rsidRPr="00AA171A">
        <w:rPr>
          <w:lang w:val="lv-LV"/>
        </w:rPr>
        <w:t>arī tiek vērtēta pozitīvi. Programma veicina jauniešu disciplīnu, atbildību, patriotismu un aktīvu līdzdalību sabiedrībā</w:t>
      </w:r>
      <w:r w:rsidR="008D3E43">
        <w:rPr>
          <w:lang w:val="lv-LV"/>
        </w:rPr>
        <w:t>, vienlaikus</w:t>
      </w:r>
      <w:r w:rsidRPr="00AA171A">
        <w:rPr>
          <w:lang w:val="lv-LV"/>
        </w:rPr>
        <w:t xml:space="preserve"> nodrošin</w:t>
      </w:r>
      <w:r w:rsidR="008D3E43">
        <w:rPr>
          <w:lang w:val="lv-LV"/>
        </w:rPr>
        <w:t>ot</w:t>
      </w:r>
      <w:r w:rsidRPr="00AA171A">
        <w:rPr>
          <w:lang w:val="lv-LV"/>
        </w:rPr>
        <w:t xml:space="preserve"> arī jēgpilnas brīvā laika pavadīšanas iespējas. Skolās, kur</w:t>
      </w:r>
      <w:r w:rsidR="009D038C">
        <w:rPr>
          <w:lang w:val="lv-LV"/>
        </w:rPr>
        <w:t>ās</w:t>
      </w:r>
      <w:r w:rsidRPr="00AA171A">
        <w:rPr>
          <w:lang w:val="lv-LV"/>
        </w:rPr>
        <w:t xml:space="preserve"> programma netiek īstenota, </w:t>
      </w:r>
      <w:r w:rsidR="009D038C">
        <w:rPr>
          <w:lang w:val="lv-LV"/>
        </w:rPr>
        <w:t>tas vis</w:t>
      </w:r>
      <w:r w:rsidRPr="00AA171A">
        <w:rPr>
          <w:lang w:val="lv-LV"/>
        </w:rPr>
        <w:t>bie</w:t>
      </w:r>
      <w:r w:rsidR="009D038C">
        <w:rPr>
          <w:lang w:val="lv-LV"/>
        </w:rPr>
        <w:t>žāk</w:t>
      </w:r>
      <w:r w:rsidRPr="00AA171A">
        <w:rPr>
          <w:lang w:val="lv-LV"/>
        </w:rPr>
        <w:t xml:space="preserve"> saistīts ar grūtībām piesaistīt </w:t>
      </w:r>
      <w:r w:rsidR="000F167C">
        <w:rPr>
          <w:lang w:val="lv-LV"/>
        </w:rPr>
        <w:t xml:space="preserve">jaunsargu </w:t>
      </w:r>
      <w:r w:rsidRPr="00AA171A">
        <w:rPr>
          <w:lang w:val="lv-LV"/>
        </w:rPr>
        <w:t>instruktorus</w:t>
      </w:r>
      <w:r w:rsidR="009D422B">
        <w:rPr>
          <w:lang w:val="lv-LV"/>
        </w:rPr>
        <w:t xml:space="preserve"> vai ar zemo skolēnu interesi</w:t>
      </w:r>
      <w:r w:rsidRPr="00AA171A">
        <w:rPr>
          <w:lang w:val="lv-LV"/>
        </w:rPr>
        <w:t>.</w:t>
      </w:r>
    </w:p>
    <w:p w14:paraId="41325298" w14:textId="37B66048" w:rsidR="00AA171A" w:rsidRDefault="009D422B" w:rsidP="00AA171A">
      <w:pPr>
        <w:ind w:left="851"/>
        <w:rPr>
          <w:lang w:val="lv-LV"/>
        </w:rPr>
      </w:pPr>
      <w:r>
        <w:rPr>
          <w:lang w:val="lv-LV"/>
        </w:rPr>
        <w:t>Kopumā g</w:t>
      </w:r>
      <w:r w:rsidR="00AA171A" w:rsidRPr="00AA171A">
        <w:rPr>
          <w:lang w:val="lv-LV"/>
        </w:rPr>
        <w:t xml:space="preserve">an VAM, gan Jaunsardzes programmas izglītības iestādēs tiek uztvertas kā vērtīgas un nepieciešamas. Vienlaikus to efektīvākai īstenošanai nepieciešams risināt divus galvenos sistēmiskos izaicinājumus – mācību procesa organizēšanu un infrastruktūras pieejamību. Tāpat būtiska </w:t>
      </w:r>
      <w:r w:rsidR="001F5268">
        <w:rPr>
          <w:lang w:val="lv-LV"/>
        </w:rPr>
        <w:t xml:space="preserve">nozīme </w:t>
      </w:r>
      <w:r w:rsidR="00AA171A" w:rsidRPr="00AA171A">
        <w:rPr>
          <w:lang w:val="lv-LV"/>
        </w:rPr>
        <w:t>ir nepārtraukta</w:t>
      </w:r>
      <w:r w:rsidR="001F5268">
        <w:rPr>
          <w:lang w:val="lv-LV"/>
        </w:rPr>
        <w:t>i</w:t>
      </w:r>
      <w:r w:rsidR="00AA171A" w:rsidRPr="00AA171A">
        <w:rPr>
          <w:lang w:val="lv-LV"/>
        </w:rPr>
        <w:t xml:space="preserve"> komunikācija</w:t>
      </w:r>
      <w:r w:rsidR="001F5268">
        <w:rPr>
          <w:lang w:val="lv-LV"/>
        </w:rPr>
        <w:t>i</w:t>
      </w:r>
      <w:r w:rsidR="00AA171A" w:rsidRPr="00AA171A">
        <w:rPr>
          <w:lang w:val="lv-LV"/>
        </w:rPr>
        <w:t xml:space="preserve"> un sadarbība</w:t>
      </w:r>
      <w:r w:rsidR="001F5268">
        <w:rPr>
          <w:lang w:val="lv-LV"/>
        </w:rPr>
        <w:t>i</w:t>
      </w:r>
      <w:r w:rsidR="00AA171A" w:rsidRPr="00AA171A">
        <w:rPr>
          <w:lang w:val="lv-LV"/>
        </w:rPr>
        <w:t xml:space="preserve"> starp skolām un Jaunsardzes struktūrām, kā arī pedagogu un </w:t>
      </w:r>
      <w:r w:rsidR="00B8614B">
        <w:rPr>
          <w:lang w:val="lv-LV"/>
        </w:rPr>
        <w:t xml:space="preserve">plašākas </w:t>
      </w:r>
      <w:r w:rsidR="00AA171A" w:rsidRPr="00AA171A">
        <w:rPr>
          <w:lang w:val="lv-LV"/>
        </w:rPr>
        <w:t>sabiedrības izpratnes stiprināšana</w:t>
      </w:r>
      <w:r w:rsidR="001F5268">
        <w:rPr>
          <w:lang w:val="lv-LV"/>
        </w:rPr>
        <w:t>i</w:t>
      </w:r>
      <w:r w:rsidR="00AA171A" w:rsidRPr="00AA171A">
        <w:rPr>
          <w:lang w:val="lv-LV"/>
        </w:rPr>
        <w:t xml:space="preserve"> par programmu mērķiem un nozīmi.</w:t>
      </w:r>
    </w:p>
    <w:p w14:paraId="0CDA70AF" w14:textId="51A0DF2B" w:rsidR="00DE505E" w:rsidRDefault="004023F3" w:rsidP="002571A2">
      <w:pPr>
        <w:pStyle w:val="Heading2"/>
        <w:rPr>
          <w:lang w:val="lv-LV"/>
        </w:rPr>
      </w:pPr>
      <w:r>
        <w:rPr>
          <w:noProof/>
          <w:lang w:val="lv-LV"/>
        </w:rPr>
        <w:drawing>
          <wp:anchor distT="0" distB="0" distL="114300" distR="114300" simplePos="0" relativeHeight="251658254" behindDoc="0" locked="0" layoutInCell="1" allowOverlap="1" wp14:anchorId="6889A019" wp14:editId="684836FC">
            <wp:simplePos x="0" y="0"/>
            <wp:positionH relativeFrom="margin">
              <wp:align>left</wp:align>
            </wp:positionH>
            <wp:positionV relativeFrom="paragraph">
              <wp:posOffset>14077</wp:posOffset>
            </wp:positionV>
            <wp:extent cx="540000" cy="540000"/>
            <wp:effectExtent l="0" t="0" r="0" b="0"/>
            <wp:wrapSquare wrapText="bothSides"/>
            <wp:docPr id="858438727" name="Graphic 13" descr="Filing Box Archiv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38727" name="Graphic 858438727" descr="Filing Box Archive with solid fill"/>
                    <pic:cNvPicPr/>
                  </pic:nvPicPr>
                  <pic:blipFill>
                    <a:blip r:embed="rId18">
                      <a:extLst>
                        <a:ext uri="{96DAC541-7B7A-43D3-8B79-37D633B846F1}">
                          <asvg:svgBlip xmlns:asvg="http://schemas.microsoft.com/office/drawing/2016/SVG/main" r:embed="rId19"/>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r w:rsidR="008461BA" w:rsidRPr="008461BA">
        <w:t xml:space="preserve"> </w:t>
      </w:r>
      <w:r w:rsidR="008461BA" w:rsidRPr="008461BA">
        <w:rPr>
          <w:lang w:val="lv-LV"/>
        </w:rPr>
        <w:t>Jaunsardzes centra kapacitāte valsts aizsardzības mācības un jaunsargu interešu izglītības nodrošināšanai</w:t>
      </w:r>
    </w:p>
    <w:p w14:paraId="70B6AFD7" w14:textId="3D17C489" w:rsidR="00773D70" w:rsidRDefault="00773D70" w:rsidP="00154B30">
      <w:pPr>
        <w:ind w:left="142"/>
        <w:rPr>
          <w:lang w:val="lv-LV"/>
        </w:rPr>
      </w:pPr>
      <w:r w:rsidRPr="00773D70">
        <w:rPr>
          <w:lang w:val="lv-LV"/>
        </w:rPr>
        <w:t>Jaunsardzes centra kapacitāte VAM</w:t>
      </w:r>
      <w:r w:rsidR="00B71922">
        <w:rPr>
          <w:lang w:val="lv-LV"/>
        </w:rPr>
        <w:t xml:space="preserve"> </w:t>
      </w:r>
      <w:r w:rsidRPr="00773D70">
        <w:rPr>
          <w:lang w:val="lv-LV"/>
        </w:rPr>
        <w:t xml:space="preserve">un jaunsargu interešu izglītības nodrošināšanai kopumā tiek vērtēta kā pietiekama, taču ar vairākiem būtiskiem pilnveides virzieniem, kas ietekmē gan programmu kvalitāti, gan </w:t>
      </w:r>
      <w:r w:rsidR="00075B30">
        <w:rPr>
          <w:lang w:val="lv-LV"/>
        </w:rPr>
        <w:t xml:space="preserve">to </w:t>
      </w:r>
      <w:r w:rsidRPr="00773D70">
        <w:rPr>
          <w:lang w:val="lv-LV"/>
        </w:rPr>
        <w:t>ilgtspēju.</w:t>
      </w:r>
    </w:p>
    <w:p w14:paraId="04A49F76" w14:textId="0E038977" w:rsidR="006466FC" w:rsidRPr="006466FC" w:rsidRDefault="00F91CB1" w:rsidP="00B71922">
      <w:pPr>
        <w:ind w:left="851"/>
        <w:rPr>
          <w:lang w:val="lv-LV"/>
        </w:rPr>
      </w:pPr>
      <w:r w:rsidRPr="003B71CB">
        <w:rPr>
          <w:noProof/>
          <w:lang w:val="lv-LV"/>
        </w:rPr>
        <mc:AlternateContent>
          <mc:Choice Requires="wps">
            <w:drawing>
              <wp:anchor distT="0" distB="0" distL="114300" distR="114300" simplePos="0" relativeHeight="251658259" behindDoc="0" locked="0" layoutInCell="1" allowOverlap="1" wp14:anchorId="552A72E5" wp14:editId="7FCF37E9">
                <wp:simplePos x="0" y="0"/>
                <wp:positionH relativeFrom="margin">
                  <wp:posOffset>31115</wp:posOffset>
                </wp:positionH>
                <wp:positionV relativeFrom="paragraph">
                  <wp:posOffset>40005</wp:posOffset>
                </wp:positionV>
                <wp:extent cx="360000" cy="2160000"/>
                <wp:effectExtent l="0" t="0" r="2540" b="0"/>
                <wp:wrapThrough wrapText="bothSides">
                  <wp:wrapPolygon edited="0">
                    <wp:start x="0" y="0"/>
                    <wp:lineTo x="0" y="21340"/>
                    <wp:lineTo x="20608" y="21340"/>
                    <wp:lineTo x="20608" y="0"/>
                    <wp:lineTo x="0" y="0"/>
                  </wp:wrapPolygon>
                </wp:wrapThrough>
                <wp:docPr id="970018857" name="Rectangle 2"/>
                <wp:cNvGraphicFramePr/>
                <a:graphic xmlns:a="http://schemas.openxmlformats.org/drawingml/2006/main">
                  <a:graphicData uri="http://schemas.microsoft.com/office/word/2010/wordprocessingShape">
                    <wps:wsp>
                      <wps:cNvSpPr/>
                      <wps:spPr>
                        <a:xfrm>
                          <a:off x="0" y="0"/>
                          <a:ext cx="360000" cy="216000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xmlns:c="http://schemas.openxmlformats.org/drawingml/2006/chart">
            <w:pict>
              <v:rect id="Rectangle 2" style="position:absolute;margin-left:2.45pt;margin-top:3.15pt;width:28.35pt;height:170.1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3b8ff [665]" stroked="f" strokeweight="1pt" w14:anchorId="095BF0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">
                <w10:wrap type="through" anchorx="margin"/>
              </v:rect>
            </w:pict>
          </mc:Fallback>
        </mc:AlternateContent>
      </w:r>
      <w:r w:rsidR="006466FC" w:rsidRPr="006466FC">
        <w:rPr>
          <w:lang w:val="lv-LV"/>
        </w:rPr>
        <w:t>Jaunsargu instruktoriem noteiktās izglītības un kvalifikācijas prasības kopumā ir augstas, pamatotas un atbilstošas amata pienākumu veikšanai. Augstākā izglītība tiek uzskatīta par būtisku profesionālajai sagatavotībai un darba kvalitātei, savukārt prasības attiecībā uz bērnu tiesību aizsardzību, specializētajiem kursiem un militāro statusu stiprina gan kompetenci, gan spēju jauniešiem nodot praktisku un vērtībās balstītu pieredzi.</w:t>
      </w:r>
    </w:p>
    <w:p w14:paraId="476D517A" w14:textId="393A560A" w:rsidR="006466FC" w:rsidRPr="006466FC" w:rsidRDefault="006466FC" w:rsidP="00B71922">
      <w:pPr>
        <w:ind w:left="851"/>
        <w:rPr>
          <w:lang w:val="lv-LV"/>
        </w:rPr>
      </w:pPr>
      <w:r w:rsidRPr="006466FC">
        <w:rPr>
          <w:lang w:val="lv-LV"/>
        </w:rPr>
        <w:t xml:space="preserve">Vienlaikus </w:t>
      </w:r>
      <w:r w:rsidR="00C22D06">
        <w:rPr>
          <w:lang w:val="lv-LV"/>
        </w:rPr>
        <w:t xml:space="preserve">analīze </w:t>
      </w:r>
      <w:r w:rsidRPr="006466FC">
        <w:rPr>
          <w:lang w:val="lv-LV"/>
        </w:rPr>
        <w:t>identificē uzlabojamas jomas</w:t>
      </w:r>
      <w:r w:rsidR="001346C8">
        <w:rPr>
          <w:lang w:val="lv-LV"/>
        </w:rPr>
        <w:t>,</w:t>
      </w:r>
      <w:r w:rsidRPr="006466FC">
        <w:rPr>
          <w:lang w:val="lv-LV"/>
        </w:rPr>
        <w:t xml:space="preserve"> īpaši militārās un pedagoģiskās kompetences. </w:t>
      </w:r>
      <w:r w:rsidR="001F621D">
        <w:rPr>
          <w:lang w:val="lv-LV"/>
        </w:rPr>
        <w:t>Jaunsargu i</w:t>
      </w:r>
      <w:r w:rsidRPr="006466FC">
        <w:rPr>
          <w:lang w:val="lv-LV"/>
        </w:rPr>
        <w:t>nstruktoriem bez militārās pieredzes nereti trūkst praktisku iemaņu, bet esošais pedagoģijas apmācību apjoms ir nepietiekams darbam ar jauniešiem,</w:t>
      </w:r>
      <w:r w:rsidR="001346C8">
        <w:rPr>
          <w:lang w:val="lv-LV"/>
        </w:rPr>
        <w:t xml:space="preserve"> jo</w:t>
      </w:r>
      <w:r w:rsidRPr="006466FC">
        <w:rPr>
          <w:lang w:val="lv-LV"/>
        </w:rPr>
        <w:t xml:space="preserve"> īpaši psiholoģijas un motivācijas aspektos. Tādēļ nepieciešams </w:t>
      </w:r>
      <w:r w:rsidR="002F03AA">
        <w:rPr>
          <w:lang w:val="lv-LV"/>
        </w:rPr>
        <w:t xml:space="preserve">mērķtiecīgi </w:t>
      </w:r>
      <w:r w:rsidRPr="006466FC">
        <w:rPr>
          <w:lang w:val="lv-LV"/>
        </w:rPr>
        <w:t>stiprināt gan pedagoģiskās, gan psiholoģiskās prasmes.</w:t>
      </w:r>
      <w:r w:rsidR="002B7F11">
        <w:rPr>
          <w:lang w:val="lv-LV"/>
        </w:rPr>
        <w:t xml:space="preserve"> </w:t>
      </w:r>
      <w:r w:rsidRPr="006466FC">
        <w:rPr>
          <w:lang w:val="lv-LV"/>
        </w:rPr>
        <w:t>Kā būtisks attīstības virziens tiek izcelta individualizēta pieeja kvalifikācijas celšanā, pielāgojot apmācības instruktoru iepriekšējai pieredzei. Tāpat ieteicams paplašināt kursu saturu ar mūsdienu drošības un digitālo prasmju tēmām.</w:t>
      </w:r>
    </w:p>
    <w:p w14:paraId="5FC53643" w14:textId="31E7A65F" w:rsidR="006466FC" w:rsidRDefault="00246CA7" w:rsidP="00B71922">
      <w:pPr>
        <w:ind w:left="851"/>
        <w:rPr>
          <w:lang w:val="lv-LV"/>
        </w:rPr>
      </w:pPr>
      <w:r w:rsidRPr="003B71CB">
        <w:rPr>
          <w:noProof/>
          <w:lang w:val="lv-LV"/>
        </w:rPr>
        <w:lastRenderedPageBreak/>
        <mc:AlternateContent>
          <mc:Choice Requires="wps">
            <w:drawing>
              <wp:anchor distT="0" distB="0" distL="114300" distR="114300" simplePos="0" relativeHeight="251658246" behindDoc="0" locked="0" layoutInCell="1" allowOverlap="1" wp14:anchorId="718FFB96" wp14:editId="5F815D1F">
                <wp:simplePos x="0" y="0"/>
                <wp:positionH relativeFrom="margin">
                  <wp:align>left</wp:align>
                </wp:positionH>
                <wp:positionV relativeFrom="paragraph">
                  <wp:posOffset>11430</wp:posOffset>
                </wp:positionV>
                <wp:extent cx="360000" cy="720000"/>
                <wp:effectExtent l="0" t="0" r="2540" b="4445"/>
                <wp:wrapThrough wrapText="bothSides">
                  <wp:wrapPolygon edited="0">
                    <wp:start x="0" y="0"/>
                    <wp:lineTo x="0" y="21162"/>
                    <wp:lineTo x="20608" y="21162"/>
                    <wp:lineTo x="20608" y="0"/>
                    <wp:lineTo x="0" y="0"/>
                  </wp:wrapPolygon>
                </wp:wrapThrough>
                <wp:docPr id="1883654719" name="Rectangle 2"/>
                <wp:cNvGraphicFramePr/>
                <a:graphic xmlns:a="http://schemas.openxmlformats.org/drawingml/2006/main">
                  <a:graphicData uri="http://schemas.microsoft.com/office/word/2010/wordprocessingShape">
                    <wps:wsp>
                      <wps:cNvSpPr/>
                      <wps:spPr>
                        <a:xfrm>
                          <a:off x="0" y="0"/>
                          <a:ext cx="360000" cy="72000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xmlns:c="http://schemas.openxmlformats.org/drawingml/2006/chart">
            <w:pict>
              <v:rect id="Rectangle 2" style="position:absolute;margin-left:0;margin-top:.9pt;width:28.35pt;height:56.7pt;z-index:25165824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f3b8ff [665]" stroked="f" strokeweight="1pt" w14:anchorId="351496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">
                <w10:wrap type="through" anchorx="margin"/>
              </v:rect>
            </w:pict>
          </mc:Fallback>
        </mc:AlternateContent>
      </w:r>
      <w:r w:rsidR="006466FC" w:rsidRPr="006466FC">
        <w:rPr>
          <w:lang w:val="lv-LV"/>
        </w:rPr>
        <w:t>Jaunsargu instruktoru darbs tiek vērtēts ļoti pozitīvi –</w:t>
      </w:r>
      <w:r w:rsidR="008F43A2">
        <w:rPr>
          <w:lang w:val="lv-LV"/>
        </w:rPr>
        <w:t xml:space="preserve"> </w:t>
      </w:r>
      <w:r w:rsidR="006466FC" w:rsidRPr="006466FC">
        <w:rPr>
          <w:lang w:val="lv-LV"/>
        </w:rPr>
        <w:t>augstu novērtēta viņu profesionalitāte, spēja veidot drošu mācību vidi un motivēt jauniešus. Vienlaikus atsevišķos gadījumos nepieciešami uzlabojumi pedagoģiskajā pieejā, komunikācijā ar skolām un vērtēšanas sistēmas vienotībā</w:t>
      </w:r>
      <w:r w:rsidR="00031881">
        <w:rPr>
          <w:lang w:val="lv-LV"/>
        </w:rPr>
        <w:t xml:space="preserve"> starp dažādām vienībām</w:t>
      </w:r>
      <w:r w:rsidR="006466FC" w:rsidRPr="006466FC">
        <w:rPr>
          <w:lang w:val="lv-LV"/>
        </w:rPr>
        <w:t>.</w:t>
      </w:r>
    </w:p>
    <w:p w14:paraId="2229475F" w14:textId="3B437358" w:rsidR="00F63C66" w:rsidRDefault="00F63C66" w:rsidP="00F3411E">
      <w:pPr>
        <w:pStyle w:val="GraphTitle"/>
        <w:numPr>
          <w:ilvl w:val="0"/>
          <w:numId w:val="0"/>
        </w:numPr>
      </w:pPr>
      <w:r w:rsidRPr="00F63C66">
        <w:t>Izglītības iestāžu viedoklis par jaunsargu instruktoru darbu jaunsargu interešu izglītības programmas īstenošanā, %</w:t>
      </w:r>
    </w:p>
    <w:p w14:paraId="482CA1F0" w14:textId="77777777" w:rsidR="00F806F5" w:rsidRPr="003460FF" w:rsidRDefault="00F806F5" w:rsidP="00F806F5">
      <w:pPr>
        <w:jc w:val="right"/>
      </w:pPr>
      <w:r w:rsidRPr="003460FF">
        <w:rPr>
          <w:noProof/>
          <w:shd w:val="clear" w:color="auto" w:fill="E6E6E6" w:themeFill="accent3"/>
        </w:rPr>
        <w:drawing>
          <wp:inline distT="0" distB="0" distL="0" distR="0" wp14:anchorId="7735DA08" wp14:editId="67517E2F">
            <wp:extent cx="6479540" cy="1222218"/>
            <wp:effectExtent l="0" t="0" r="0" b="0"/>
            <wp:docPr id="95461374"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34D4AA7" w14:textId="77777777" w:rsidR="00F806F5" w:rsidRPr="003460FF" w:rsidRDefault="00F806F5" w:rsidP="00F806F5">
      <w:pPr>
        <w:jc w:val="right"/>
        <w:rPr>
          <w:sz w:val="20"/>
          <w:szCs w:val="20"/>
        </w:rPr>
      </w:pPr>
      <w:r w:rsidRPr="003460FF">
        <w:rPr>
          <w:rFonts w:ascii="Arial" w:hAnsi="Arial" w:cs="Arial"/>
          <w:i/>
          <w:iCs/>
          <w:color w:val="737373" w:themeColor="accent3" w:themeShade="80"/>
          <w:sz w:val="20"/>
          <w:szCs w:val="20"/>
        </w:rPr>
        <w:t xml:space="preserve">Avots: </w:t>
      </w:r>
      <w:proofErr w:type="spellStart"/>
      <w:r w:rsidRPr="003460FF">
        <w:rPr>
          <w:rFonts w:ascii="Arial" w:hAnsi="Arial" w:cs="Arial"/>
          <w:i/>
          <w:iCs/>
          <w:color w:val="737373" w:themeColor="accent3" w:themeShade="80"/>
          <w:sz w:val="20"/>
          <w:szCs w:val="20"/>
        </w:rPr>
        <w:t>Civitta</w:t>
      </w:r>
      <w:proofErr w:type="spellEnd"/>
      <w:r w:rsidRPr="003460FF">
        <w:rPr>
          <w:rFonts w:ascii="Arial" w:hAnsi="Arial" w:cs="Arial"/>
          <w:i/>
          <w:iCs/>
          <w:color w:val="737373" w:themeColor="accent3" w:themeShade="80"/>
          <w:sz w:val="20"/>
          <w:szCs w:val="20"/>
        </w:rPr>
        <w:t xml:space="preserve"> </w:t>
      </w:r>
      <w:proofErr w:type="spellStart"/>
      <w:r w:rsidRPr="003460FF">
        <w:rPr>
          <w:rFonts w:ascii="Arial" w:hAnsi="Arial" w:cs="Arial"/>
          <w:i/>
          <w:iCs/>
          <w:color w:val="737373" w:themeColor="accent3" w:themeShade="80"/>
          <w:sz w:val="20"/>
          <w:szCs w:val="20"/>
        </w:rPr>
        <w:t>veiktā</w:t>
      </w:r>
      <w:proofErr w:type="spellEnd"/>
      <w:r w:rsidRPr="003460FF">
        <w:rPr>
          <w:rFonts w:ascii="Arial" w:hAnsi="Arial" w:cs="Arial"/>
          <w:i/>
          <w:iCs/>
          <w:color w:val="737373" w:themeColor="accent3" w:themeShade="80"/>
          <w:sz w:val="20"/>
          <w:szCs w:val="20"/>
        </w:rPr>
        <w:t xml:space="preserve"> </w:t>
      </w:r>
      <w:proofErr w:type="spellStart"/>
      <w:r w:rsidRPr="003460FF">
        <w:rPr>
          <w:rFonts w:ascii="Arial" w:hAnsi="Arial" w:cs="Arial"/>
          <w:i/>
          <w:iCs/>
          <w:color w:val="737373" w:themeColor="accent3" w:themeShade="80"/>
          <w:sz w:val="20"/>
          <w:szCs w:val="20"/>
        </w:rPr>
        <w:t>izglītības</w:t>
      </w:r>
      <w:proofErr w:type="spellEnd"/>
      <w:r w:rsidRPr="003460FF">
        <w:rPr>
          <w:rFonts w:ascii="Arial" w:hAnsi="Arial" w:cs="Arial"/>
          <w:i/>
          <w:iCs/>
          <w:color w:val="737373" w:themeColor="accent3" w:themeShade="80"/>
          <w:sz w:val="20"/>
          <w:szCs w:val="20"/>
        </w:rPr>
        <w:t xml:space="preserve"> </w:t>
      </w:r>
      <w:proofErr w:type="spellStart"/>
      <w:r w:rsidRPr="003460FF">
        <w:rPr>
          <w:rFonts w:ascii="Arial" w:hAnsi="Arial" w:cs="Arial"/>
          <w:i/>
          <w:iCs/>
          <w:color w:val="737373" w:themeColor="accent3" w:themeShade="80"/>
          <w:sz w:val="20"/>
          <w:szCs w:val="20"/>
        </w:rPr>
        <w:t>iestāžu</w:t>
      </w:r>
      <w:proofErr w:type="spellEnd"/>
      <w:r w:rsidRPr="003460FF">
        <w:rPr>
          <w:rFonts w:ascii="Arial" w:hAnsi="Arial" w:cs="Arial"/>
          <w:i/>
          <w:iCs/>
          <w:color w:val="737373" w:themeColor="accent3" w:themeShade="80"/>
          <w:sz w:val="20"/>
          <w:szCs w:val="20"/>
        </w:rPr>
        <w:t xml:space="preserve"> </w:t>
      </w:r>
      <w:proofErr w:type="spellStart"/>
      <w:r w:rsidRPr="003460FF">
        <w:rPr>
          <w:rFonts w:ascii="Arial" w:hAnsi="Arial" w:cs="Arial"/>
          <w:i/>
          <w:iCs/>
          <w:color w:val="737373" w:themeColor="accent3" w:themeShade="80"/>
          <w:sz w:val="20"/>
          <w:szCs w:val="20"/>
        </w:rPr>
        <w:t>pārstāvju</w:t>
      </w:r>
      <w:proofErr w:type="spellEnd"/>
      <w:r w:rsidRPr="003460FF">
        <w:rPr>
          <w:rFonts w:ascii="Arial" w:hAnsi="Arial" w:cs="Arial"/>
          <w:i/>
          <w:iCs/>
          <w:color w:val="737373" w:themeColor="accent3" w:themeShade="80"/>
          <w:sz w:val="20"/>
          <w:szCs w:val="20"/>
        </w:rPr>
        <w:t xml:space="preserve"> </w:t>
      </w:r>
      <w:proofErr w:type="spellStart"/>
      <w:r w:rsidRPr="003460FF">
        <w:rPr>
          <w:rFonts w:ascii="Arial" w:hAnsi="Arial" w:cs="Arial"/>
          <w:i/>
          <w:iCs/>
          <w:color w:val="737373" w:themeColor="accent3" w:themeShade="80"/>
          <w:sz w:val="20"/>
          <w:szCs w:val="20"/>
        </w:rPr>
        <w:t>aptauja</w:t>
      </w:r>
      <w:proofErr w:type="spellEnd"/>
      <w:r w:rsidRPr="003460FF">
        <w:rPr>
          <w:rFonts w:ascii="Arial" w:hAnsi="Arial" w:cs="Arial"/>
          <w:i/>
          <w:iCs/>
          <w:color w:val="737373" w:themeColor="accent3" w:themeShade="80"/>
          <w:sz w:val="20"/>
          <w:szCs w:val="20"/>
        </w:rPr>
        <w:t>, N=</w:t>
      </w:r>
      <w:r>
        <w:rPr>
          <w:rFonts w:ascii="Arial" w:hAnsi="Arial" w:cs="Arial"/>
          <w:i/>
          <w:iCs/>
          <w:color w:val="737373" w:themeColor="accent3" w:themeShade="80"/>
          <w:sz w:val="20"/>
          <w:szCs w:val="20"/>
        </w:rPr>
        <w:t>100</w:t>
      </w:r>
    </w:p>
    <w:p w14:paraId="6E2357CA" w14:textId="358ADFC6" w:rsidR="00773D70" w:rsidRPr="00773D70" w:rsidRDefault="00F07744" w:rsidP="00F07744">
      <w:pPr>
        <w:ind w:left="851"/>
        <w:rPr>
          <w:lang w:val="lv-LV"/>
        </w:rPr>
      </w:pPr>
      <w:r w:rsidRPr="003B71CB">
        <w:rPr>
          <w:noProof/>
          <w:lang w:val="lv-LV"/>
        </w:rPr>
        <mc:AlternateContent>
          <mc:Choice Requires="wps">
            <w:drawing>
              <wp:anchor distT="0" distB="0" distL="114300" distR="114300" simplePos="0" relativeHeight="251658245" behindDoc="0" locked="0" layoutInCell="1" allowOverlap="1" wp14:anchorId="429849C1" wp14:editId="3CDF7733">
                <wp:simplePos x="0" y="0"/>
                <wp:positionH relativeFrom="margin">
                  <wp:align>left</wp:align>
                </wp:positionH>
                <wp:positionV relativeFrom="paragraph">
                  <wp:posOffset>7951</wp:posOffset>
                </wp:positionV>
                <wp:extent cx="360000" cy="2988000"/>
                <wp:effectExtent l="0" t="0" r="2540" b="3175"/>
                <wp:wrapThrough wrapText="bothSides">
                  <wp:wrapPolygon edited="0">
                    <wp:start x="0" y="0"/>
                    <wp:lineTo x="0" y="21485"/>
                    <wp:lineTo x="20608" y="21485"/>
                    <wp:lineTo x="20608" y="0"/>
                    <wp:lineTo x="0" y="0"/>
                  </wp:wrapPolygon>
                </wp:wrapThrough>
                <wp:docPr id="1026889745" name="Rectangle 2"/>
                <wp:cNvGraphicFramePr/>
                <a:graphic xmlns:a="http://schemas.openxmlformats.org/drawingml/2006/main">
                  <a:graphicData uri="http://schemas.microsoft.com/office/word/2010/wordprocessingShape">
                    <wps:wsp>
                      <wps:cNvSpPr/>
                      <wps:spPr>
                        <a:xfrm>
                          <a:off x="0" y="0"/>
                          <a:ext cx="360000" cy="298800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xmlns:c="http://schemas.openxmlformats.org/drawingml/2006/chart">
            <w:pict>
              <v:rect id="Rectangle 2" style="position:absolute;margin-left:0;margin-top:.65pt;width:28.35pt;height:235.3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f3b8ff [665]" stroked="f" strokeweight="1pt" w14:anchorId="34E8ED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">
                <w10:wrap type="through" anchorx="margin"/>
              </v:rect>
            </w:pict>
          </mc:Fallback>
        </mc:AlternateContent>
      </w:r>
      <w:r w:rsidR="007A55AA">
        <w:rPr>
          <w:lang w:val="lv-LV"/>
        </w:rPr>
        <w:t>Vērtējot</w:t>
      </w:r>
      <w:r w:rsidR="00773D70" w:rsidRPr="00773D70">
        <w:rPr>
          <w:lang w:val="lv-LV"/>
        </w:rPr>
        <w:t xml:space="preserve"> personāla piesaisti, secināms, ka esošie atlases kritēriji kopumā ir pietiekami, lai nodrošinātu nepieciešamo </w:t>
      </w:r>
      <w:r w:rsidR="00367112">
        <w:rPr>
          <w:lang w:val="lv-LV"/>
        </w:rPr>
        <w:t xml:space="preserve">jaunsargu </w:t>
      </w:r>
      <w:r w:rsidR="00773D70" w:rsidRPr="00773D70">
        <w:rPr>
          <w:lang w:val="lv-LV"/>
        </w:rPr>
        <w:t xml:space="preserve">instruktoru skaitu, un tie palīdz uzturēt kvalitātes standartus. Tomēr noteikti ierobežojumi, piemēram, šaurs atļauto izglītības nozaru saraksts, var </w:t>
      </w:r>
      <w:r w:rsidR="00180F84">
        <w:rPr>
          <w:lang w:val="lv-LV"/>
        </w:rPr>
        <w:t xml:space="preserve">nepamatoti </w:t>
      </w:r>
      <w:r w:rsidR="00773D70" w:rsidRPr="00773D70">
        <w:rPr>
          <w:lang w:val="lv-LV"/>
        </w:rPr>
        <w:t>sa</w:t>
      </w:r>
      <w:r w:rsidR="00180F84">
        <w:rPr>
          <w:lang w:val="lv-LV"/>
        </w:rPr>
        <w:t>šaurināt</w:t>
      </w:r>
      <w:r w:rsidR="00773D70" w:rsidRPr="00773D70">
        <w:rPr>
          <w:lang w:val="lv-LV"/>
        </w:rPr>
        <w:t xml:space="preserve"> potenciālo kandidātu loku. Lielāka elastība šajā jomā varētu uzlabot personāla piesaistes iespējas, nezaudējot kvalitāt</w:t>
      </w:r>
      <w:r w:rsidR="004C06FD">
        <w:rPr>
          <w:lang w:val="lv-LV"/>
        </w:rPr>
        <w:t>es prasības</w:t>
      </w:r>
      <w:r w:rsidR="00773D70" w:rsidRPr="00773D70">
        <w:rPr>
          <w:lang w:val="lv-LV"/>
        </w:rPr>
        <w:t>.</w:t>
      </w:r>
    </w:p>
    <w:p w14:paraId="07D165CF" w14:textId="50AA0C2F" w:rsidR="00154B30" w:rsidRDefault="00773D70" w:rsidP="00F07744">
      <w:pPr>
        <w:ind w:left="851"/>
        <w:rPr>
          <w:lang w:val="lv-LV"/>
        </w:rPr>
      </w:pPr>
      <w:r w:rsidRPr="00773D70">
        <w:rPr>
          <w:lang w:val="lv-LV"/>
        </w:rPr>
        <w:t>Būtiskākie izaicinājumi jaunsargu instruktoru kapacitātē nav tieši saistīti ar formālajām prasībām, bet gan ar darba organizāciju. Augstā darba slodze, kas ietver nodarbības arī nedēļas nogalēs, administratīvo pienākumu apjoms un birokrātiskie procesi būtiski ietekmē darbinieku noturību</w:t>
      </w:r>
      <w:r w:rsidR="00170D24">
        <w:rPr>
          <w:lang w:val="lv-LV"/>
        </w:rPr>
        <w:t xml:space="preserve"> un rada risku kvalificētu jaunsargu instruktoru zaudēšanai</w:t>
      </w:r>
      <w:r w:rsidRPr="00773D70">
        <w:rPr>
          <w:lang w:val="lv-LV"/>
        </w:rPr>
        <w:t xml:space="preserve">. </w:t>
      </w:r>
      <w:r w:rsidR="00E7549F">
        <w:rPr>
          <w:lang w:val="lv-LV"/>
        </w:rPr>
        <w:t>M</w:t>
      </w:r>
      <w:r w:rsidRPr="00773D70">
        <w:rPr>
          <w:lang w:val="lv-LV"/>
        </w:rPr>
        <w:t xml:space="preserve">ateriāltehnisko resursu pieejamība kopumā ir pietiekama, taču jaunākiem instruktoriem biežāk trūkst </w:t>
      </w:r>
      <w:r w:rsidR="00E7549F">
        <w:rPr>
          <w:lang w:val="lv-LV"/>
        </w:rPr>
        <w:t xml:space="preserve">nepieciešamā </w:t>
      </w:r>
      <w:r w:rsidRPr="00773D70">
        <w:rPr>
          <w:lang w:val="lv-LV"/>
        </w:rPr>
        <w:t xml:space="preserve">aprīkojuma, </w:t>
      </w:r>
      <w:r w:rsidR="00E7549F">
        <w:rPr>
          <w:lang w:val="lv-LV"/>
        </w:rPr>
        <w:t>savukārt</w:t>
      </w:r>
      <w:r w:rsidR="00E7549F" w:rsidRPr="00773D70">
        <w:rPr>
          <w:lang w:val="lv-LV"/>
        </w:rPr>
        <w:t xml:space="preserve"> </w:t>
      </w:r>
      <w:r w:rsidRPr="00773D70">
        <w:rPr>
          <w:lang w:val="lv-LV"/>
        </w:rPr>
        <w:t xml:space="preserve">centralizētā apgādes sistēma nereti ir lēna un </w:t>
      </w:r>
      <w:r w:rsidR="00591698">
        <w:rPr>
          <w:lang w:val="lv-LV"/>
        </w:rPr>
        <w:t xml:space="preserve">nepietiekami </w:t>
      </w:r>
      <w:r w:rsidRPr="00773D70">
        <w:rPr>
          <w:lang w:val="lv-LV"/>
        </w:rPr>
        <w:t>elastīga.</w:t>
      </w:r>
    </w:p>
    <w:p w14:paraId="7851EF2F" w14:textId="0BB08354" w:rsidR="00520573" w:rsidRDefault="00773D70" w:rsidP="00F07744">
      <w:pPr>
        <w:ind w:left="851"/>
        <w:rPr>
          <w:lang w:val="lv-LV"/>
        </w:rPr>
      </w:pPr>
      <w:r w:rsidRPr="00773D70">
        <w:rPr>
          <w:lang w:val="lv-LV"/>
        </w:rPr>
        <w:t>Jaunsardzes centra kapacitāte kopumā nodrošina VAM un Jaunsardzes programmu īstenošanu atbilstošā kvalitātē. Tomēr, lai paaugstinātu sistēmas efektivitāti un ilgtspēju,</w:t>
      </w:r>
      <w:r w:rsidR="00154B30">
        <w:rPr>
          <w:lang w:val="lv-LV"/>
        </w:rPr>
        <w:t xml:space="preserve"> n</w:t>
      </w:r>
      <w:r w:rsidRPr="00773D70">
        <w:rPr>
          <w:lang w:val="lv-LV"/>
        </w:rPr>
        <w:t xml:space="preserve">epieciešams </w:t>
      </w:r>
      <w:r w:rsidR="00591698">
        <w:rPr>
          <w:lang w:val="lv-LV"/>
        </w:rPr>
        <w:t xml:space="preserve">mērķtiecīgi </w:t>
      </w:r>
      <w:r w:rsidRPr="00773D70">
        <w:rPr>
          <w:lang w:val="lv-LV"/>
        </w:rPr>
        <w:t>stiprināt instruktoru pedagoģiskās un militārās kompetences, ieviest elastīgāku un individualizētāku apmācību pieeju</w:t>
      </w:r>
      <w:r w:rsidR="003B4B2A">
        <w:rPr>
          <w:lang w:val="lv-LV"/>
        </w:rPr>
        <w:t xml:space="preserve"> kvalifikācijas celšanā</w:t>
      </w:r>
      <w:r w:rsidRPr="00773D70">
        <w:rPr>
          <w:lang w:val="lv-LV"/>
        </w:rPr>
        <w:t xml:space="preserve">, mazināt administratīvo slogu un risināt darba slodzes </w:t>
      </w:r>
      <w:r w:rsidR="003B4B2A">
        <w:rPr>
          <w:lang w:val="lv-LV"/>
        </w:rPr>
        <w:t xml:space="preserve">ilgtspējas </w:t>
      </w:r>
      <w:r w:rsidRPr="00773D70">
        <w:rPr>
          <w:lang w:val="lv-LV"/>
        </w:rPr>
        <w:t>jautājumus.</w:t>
      </w:r>
    </w:p>
    <w:p w14:paraId="25FBE16E" w14:textId="6D60694F" w:rsidR="002834C6" w:rsidRDefault="00194752" w:rsidP="002D375F">
      <w:pPr>
        <w:pStyle w:val="Heading2"/>
        <w:rPr>
          <w:lang w:val="lv-LV"/>
        </w:rPr>
      </w:pPr>
      <w:r>
        <w:rPr>
          <w:noProof/>
          <w:lang w:val="lv-LV"/>
        </w:rPr>
        <w:drawing>
          <wp:anchor distT="0" distB="0" distL="114300" distR="114300" simplePos="0" relativeHeight="251658255" behindDoc="0" locked="0" layoutInCell="1" allowOverlap="1" wp14:anchorId="5CC36B6F" wp14:editId="18E66B30">
            <wp:simplePos x="0" y="0"/>
            <wp:positionH relativeFrom="margin">
              <wp:posOffset>0</wp:posOffset>
            </wp:positionH>
            <wp:positionV relativeFrom="paragraph">
              <wp:posOffset>42545</wp:posOffset>
            </wp:positionV>
            <wp:extent cx="540000" cy="540000"/>
            <wp:effectExtent l="0" t="0" r="0" b="0"/>
            <wp:wrapSquare wrapText="bothSides"/>
            <wp:docPr id="443761925" name="Graphic 15" descr="Blockcha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761925" name="Graphic 443761925" descr="Blockchain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540000" cy="540000"/>
                    </a:xfrm>
                    <a:prstGeom prst="rect">
                      <a:avLst/>
                    </a:prstGeom>
                  </pic:spPr>
                </pic:pic>
              </a:graphicData>
            </a:graphic>
          </wp:anchor>
        </w:drawing>
      </w:r>
      <w:r w:rsidR="002D375F" w:rsidRPr="002D375F">
        <w:rPr>
          <w:lang w:val="lv-LV"/>
        </w:rPr>
        <w:t>Valsts aizsardzības mācības izglītības programmas atbilstība noteiktā mērķa sasniegšanai</w:t>
      </w:r>
    </w:p>
    <w:p w14:paraId="1ACDA151" w14:textId="1D21A5E6" w:rsidR="00AC707E" w:rsidRPr="00AC707E" w:rsidRDefault="00AC707E" w:rsidP="00AC707E">
      <w:pPr>
        <w:rPr>
          <w:lang w:val="lv-LV"/>
        </w:rPr>
      </w:pPr>
      <w:r w:rsidRPr="00AC707E">
        <w:rPr>
          <w:lang w:val="lv-LV"/>
        </w:rPr>
        <w:t xml:space="preserve">VAM programmas atbilstība noteiktajam mērķim kopumā vērtējama kā daļēji pietiekama. Programma strukturāli ir labi izstrādāta – tās mērķi un uzdevumi ir loģiski sasaistīti ar saturu, kas organizēts skaidros moduļos un </w:t>
      </w:r>
      <w:proofErr w:type="spellStart"/>
      <w:r w:rsidRPr="00AC707E">
        <w:rPr>
          <w:lang w:val="lv-LV"/>
        </w:rPr>
        <w:t>apakšmoduļos</w:t>
      </w:r>
      <w:proofErr w:type="spellEnd"/>
      <w:r w:rsidRPr="00AC707E">
        <w:rPr>
          <w:lang w:val="lv-LV"/>
        </w:rPr>
        <w:t xml:space="preserve"> ar definētiem sasniedzamajiem rezultātiem. Šāda pieeja nodrošina pārskatāmību un vienotu ieviešanas ietvaru visā valstī, kā arī ļauj sistemātiski apgūt gan teorētiskās, gan praktiskās zināšanas valsts aizsardzības jomā. </w:t>
      </w:r>
      <w:r>
        <w:rPr>
          <w:lang w:val="lv-LV"/>
        </w:rPr>
        <w:t>Li</w:t>
      </w:r>
      <w:r w:rsidRPr="00AC707E">
        <w:rPr>
          <w:lang w:val="lv-LV"/>
        </w:rPr>
        <w:t xml:space="preserve">kumā noteiktais pamatmērķis </w:t>
      </w:r>
      <w:r w:rsidR="00EB2C0C">
        <w:rPr>
          <w:lang w:val="lv-LV"/>
        </w:rPr>
        <w:t xml:space="preserve">kopumā </w:t>
      </w:r>
      <w:r w:rsidRPr="00AC707E">
        <w:rPr>
          <w:lang w:val="lv-LV"/>
        </w:rPr>
        <w:t>tiek sasniegts, īpaši militāro prasmju apguves dimensijā.</w:t>
      </w:r>
    </w:p>
    <w:p w14:paraId="0FA093BF" w14:textId="1C9B5122" w:rsidR="00F07744" w:rsidRDefault="00246CA7" w:rsidP="000B5838">
      <w:pPr>
        <w:ind w:left="851"/>
        <w:rPr>
          <w:lang w:val="lv-LV"/>
        </w:rPr>
      </w:pPr>
      <w:r w:rsidRPr="003B71CB">
        <w:rPr>
          <w:noProof/>
          <w:lang w:val="lv-LV"/>
        </w:rPr>
        <mc:AlternateContent>
          <mc:Choice Requires="wps">
            <w:drawing>
              <wp:anchor distT="0" distB="0" distL="114300" distR="114300" simplePos="0" relativeHeight="251658260" behindDoc="0" locked="0" layoutInCell="1" allowOverlap="1" wp14:anchorId="0CC45960" wp14:editId="0E82E1C2">
                <wp:simplePos x="0" y="0"/>
                <wp:positionH relativeFrom="margin">
                  <wp:align>left</wp:align>
                </wp:positionH>
                <wp:positionV relativeFrom="paragraph">
                  <wp:posOffset>15875</wp:posOffset>
                </wp:positionV>
                <wp:extent cx="359410" cy="864000"/>
                <wp:effectExtent l="0" t="0" r="2540" b="0"/>
                <wp:wrapThrough wrapText="bothSides">
                  <wp:wrapPolygon edited="0">
                    <wp:start x="0" y="0"/>
                    <wp:lineTo x="0" y="20965"/>
                    <wp:lineTo x="20608" y="20965"/>
                    <wp:lineTo x="20608" y="0"/>
                    <wp:lineTo x="0" y="0"/>
                  </wp:wrapPolygon>
                </wp:wrapThrough>
                <wp:docPr id="1093678804" name="Rectangle 2"/>
                <wp:cNvGraphicFramePr/>
                <a:graphic xmlns:a="http://schemas.openxmlformats.org/drawingml/2006/main">
                  <a:graphicData uri="http://schemas.microsoft.com/office/word/2010/wordprocessingShape">
                    <wps:wsp>
                      <wps:cNvSpPr/>
                      <wps:spPr>
                        <a:xfrm>
                          <a:off x="0" y="0"/>
                          <a:ext cx="359410" cy="86400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xmlns:c="http://schemas.openxmlformats.org/drawingml/2006/chart">
            <w:pict>
              <v:rect id="Rectangle 2" style="position:absolute;margin-left:0;margin-top:1.25pt;width:28.3pt;height:68.05pt;z-index:2516582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f3b8ff [665]" stroked="f" strokeweight="1pt" w14:anchorId="452585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">
                <w10:wrap type="through" anchorx="margin"/>
              </v:rect>
            </w:pict>
          </mc:Fallback>
        </mc:AlternateContent>
      </w:r>
      <w:r w:rsidR="00FF5412">
        <w:rPr>
          <w:lang w:val="lv-LV"/>
        </w:rPr>
        <w:t>Vienlaikus</w:t>
      </w:r>
      <w:r w:rsidR="00EB2C0C">
        <w:rPr>
          <w:lang w:val="lv-LV"/>
        </w:rPr>
        <w:t xml:space="preserve"> analīze atklāj </w:t>
      </w:r>
      <w:r w:rsidR="00AC707E" w:rsidRPr="00AC707E">
        <w:rPr>
          <w:lang w:val="lv-LV"/>
        </w:rPr>
        <w:t>strukturālu disproporciju programmas saturā. Lielākā daļa stundu (102) ir veltīta</w:t>
      </w:r>
      <w:r w:rsidR="003A7855">
        <w:rPr>
          <w:lang w:val="lv-LV"/>
        </w:rPr>
        <w:t>s</w:t>
      </w:r>
      <w:r w:rsidR="00AC707E" w:rsidRPr="00AC707E">
        <w:rPr>
          <w:lang w:val="lv-LV"/>
        </w:rPr>
        <w:t xml:space="preserve"> militārajam saturam, savukārt pilsoniskajai līdzdalībai (6 stundas) un krīzes situāciju rīcībspējai (4 stundas) atvēlētais laiks ir būtiski mazāks. Tas rada neatbilstību programmas mērķa plašākajai interpretācijai, kas paredz ne tikai militāru sagatavotību, bet arī aktīva, rīcībspējīga un pilsoniski apzinīga jaunieša veidošanu. </w:t>
      </w:r>
      <w:r w:rsidR="003A7855">
        <w:rPr>
          <w:lang w:val="lv-LV"/>
        </w:rPr>
        <w:t>Izpētes</w:t>
      </w:r>
      <w:r w:rsidR="00AC707E" w:rsidRPr="00AC707E">
        <w:rPr>
          <w:lang w:val="lv-LV"/>
        </w:rPr>
        <w:t xml:space="preserve"> dati apliecina, ka skolēni visaugstāk novērtē </w:t>
      </w:r>
      <w:r w:rsidRPr="003B71CB">
        <w:rPr>
          <w:noProof/>
          <w:lang w:val="lv-LV"/>
        </w:rPr>
        <w:lastRenderedPageBreak/>
        <mc:AlternateContent>
          <mc:Choice Requires="wps">
            <w:drawing>
              <wp:anchor distT="0" distB="0" distL="114300" distR="114300" simplePos="0" relativeHeight="251658261" behindDoc="0" locked="0" layoutInCell="1" allowOverlap="1" wp14:anchorId="3995A4F4" wp14:editId="192F38BB">
                <wp:simplePos x="0" y="0"/>
                <wp:positionH relativeFrom="margin">
                  <wp:align>left</wp:align>
                </wp:positionH>
                <wp:positionV relativeFrom="paragraph">
                  <wp:posOffset>65</wp:posOffset>
                </wp:positionV>
                <wp:extent cx="359410" cy="324000"/>
                <wp:effectExtent l="0" t="0" r="2540" b="0"/>
                <wp:wrapThrough wrapText="bothSides">
                  <wp:wrapPolygon edited="0">
                    <wp:start x="0" y="0"/>
                    <wp:lineTo x="0" y="20329"/>
                    <wp:lineTo x="20608" y="20329"/>
                    <wp:lineTo x="20608" y="0"/>
                    <wp:lineTo x="0" y="0"/>
                  </wp:wrapPolygon>
                </wp:wrapThrough>
                <wp:docPr id="387773115" name="Rectangle 2"/>
                <wp:cNvGraphicFramePr/>
                <a:graphic xmlns:a="http://schemas.openxmlformats.org/drawingml/2006/main">
                  <a:graphicData uri="http://schemas.microsoft.com/office/word/2010/wordprocessingShape">
                    <wps:wsp>
                      <wps:cNvSpPr/>
                      <wps:spPr>
                        <a:xfrm>
                          <a:off x="0" y="0"/>
                          <a:ext cx="359410" cy="32400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xmlns:c="http://schemas.openxmlformats.org/drawingml/2006/chart">
            <w:pict>
              <v:rect id="Rectangle 2" style="position:absolute;margin-left:0;margin-top:0;width:28.3pt;height:25.5pt;z-index:25165826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f3b8ff [665]" stroked="f" strokeweight="1pt" w14:anchorId="33BDAB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">
                <w10:wrap type="through" anchorx="margin"/>
              </v:rect>
            </w:pict>
          </mc:Fallback>
        </mc:AlternateContent>
      </w:r>
      <w:r w:rsidR="00AC707E" w:rsidRPr="00AC707E">
        <w:rPr>
          <w:lang w:val="lv-LV"/>
        </w:rPr>
        <w:t>militāro prasmju apguvi, savukārt pilsoniskā līdzdalība un krīzes rīcībspēja tiek uztverta kā vājāk attīstīta</w:t>
      </w:r>
      <w:r w:rsidR="009E3BF7">
        <w:rPr>
          <w:lang w:val="lv-LV"/>
        </w:rPr>
        <w:t>s</w:t>
      </w:r>
      <w:r w:rsidR="00AC707E" w:rsidRPr="00AC707E">
        <w:rPr>
          <w:lang w:val="lv-LV"/>
        </w:rPr>
        <w:t xml:space="preserve"> joma</w:t>
      </w:r>
      <w:r w:rsidR="009E3BF7">
        <w:rPr>
          <w:lang w:val="lv-LV"/>
        </w:rPr>
        <w:t>s</w:t>
      </w:r>
      <w:r w:rsidR="00AC707E" w:rsidRPr="00AC707E">
        <w:rPr>
          <w:lang w:val="lv-LV"/>
        </w:rPr>
        <w:t>.</w:t>
      </w:r>
    </w:p>
    <w:p w14:paraId="031572CA" w14:textId="77777777" w:rsidR="000755FE" w:rsidRDefault="000755FE" w:rsidP="007B1BAB">
      <w:pPr>
        <w:pStyle w:val="GraphTitle"/>
        <w:numPr>
          <w:ilvl w:val="0"/>
          <w:numId w:val="0"/>
        </w:numPr>
      </w:pPr>
      <w:r>
        <w:t>Jauniešu vērtējums par iespējām apgūt dažādas prasmes VAM, %</w:t>
      </w:r>
    </w:p>
    <w:p w14:paraId="68E16435" w14:textId="77777777" w:rsidR="000755FE" w:rsidRDefault="000755FE" w:rsidP="000755FE">
      <w:pPr>
        <w:jc w:val="right"/>
      </w:pPr>
      <w:r>
        <w:rPr>
          <w:noProof/>
        </w:rPr>
        <w:drawing>
          <wp:inline distT="0" distB="0" distL="0" distR="0" wp14:anchorId="63DF20A4" wp14:editId="20664FBC">
            <wp:extent cx="6489700" cy="2727298"/>
            <wp:effectExtent l="0" t="0" r="6350" b="0"/>
            <wp:docPr id="146809942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9CE2145" w14:textId="5D3D92FD" w:rsidR="000755FE" w:rsidRDefault="008059DA" w:rsidP="000755FE">
      <w:pPr>
        <w:jc w:val="right"/>
        <w:rPr>
          <w:rFonts w:ascii="Arial" w:hAnsi="Arial" w:cs="Arial"/>
          <w:i/>
          <w:iCs/>
          <w:color w:val="737373" w:themeColor="accent3" w:themeShade="80"/>
          <w:sz w:val="20"/>
          <w:szCs w:val="20"/>
        </w:rPr>
      </w:pPr>
      <w:r w:rsidRPr="003B71CB">
        <w:rPr>
          <w:noProof/>
          <w:lang w:val="lv-LV"/>
        </w:rPr>
        <mc:AlternateContent>
          <mc:Choice Requires="wps">
            <w:drawing>
              <wp:anchor distT="0" distB="0" distL="114300" distR="114300" simplePos="0" relativeHeight="251658250" behindDoc="0" locked="0" layoutInCell="1" allowOverlap="1" wp14:anchorId="3012B984" wp14:editId="4D2AFE01">
                <wp:simplePos x="0" y="0"/>
                <wp:positionH relativeFrom="margin">
                  <wp:posOffset>3175</wp:posOffset>
                </wp:positionH>
                <wp:positionV relativeFrom="paragraph">
                  <wp:posOffset>220345</wp:posOffset>
                </wp:positionV>
                <wp:extent cx="359410" cy="3888000"/>
                <wp:effectExtent l="0" t="0" r="2540" b="0"/>
                <wp:wrapThrough wrapText="bothSides">
                  <wp:wrapPolygon edited="0">
                    <wp:start x="0" y="0"/>
                    <wp:lineTo x="0" y="21487"/>
                    <wp:lineTo x="20608" y="21487"/>
                    <wp:lineTo x="20608" y="0"/>
                    <wp:lineTo x="0" y="0"/>
                  </wp:wrapPolygon>
                </wp:wrapThrough>
                <wp:docPr id="346896446" name="Rectangle 2"/>
                <wp:cNvGraphicFramePr/>
                <a:graphic xmlns:a="http://schemas.openxmlformats.org/drawingml/2006/main">
                  <a:graphicData uri="http://schemas.microsoft.com/office/word/2010/wordprocessingShape">
                    <wps:wsp>
                      <wps:cNvSpPr/>
                      <wps:spPr>
                        <a:xfrm>
                          <a:off x="0" y="0"/>
                          <a:ext cx="359410" cy="388800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xmlns:c="http://schemas.openxmlformats.org/drawingml/2006/chart">
            <w:pict>
              <v:rect id="Rectangle 2" style="position:absolute;margin-left:.25pt;margin-top:17.35pt;width:28.3pt;height:306.1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3b8ff [665]" stroked="f" strokeweight="1pt" w14:anchorId="3BE740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">
                <w10:wrap type="through" anchorx="margin"/>
              </v:rect>
            </w:pict>
          </mc:Fallback>
        </mc:AlternateContent>
      </w:r>
      <w:r w:rsidR="000755FE" w:rsidRPr="004740FC">
        <w:rPr>
          <w:rFonts w:ascii="Arial" w:hAnsi="Arial" w:cs="Arial"/>
          <w:i/>
          <w:iCs/>
          <w:color w:val="737373" w:themeColor="accent3" w:themeShade="80"/>
          <w:sz w:val="20"/>
          <w:szCs w:val="20"/>
        </w:rPr>
        <w:t xml:space="preserve">Avots: </w:t>
      </w:r>
      <w:proofErr w:type="spellStart"/>
      <w:r w:rsidR="000755FE">
        <w:rPr>
          <w:rFonts w:ascii="Arial" w:hAnsi="Arial" w:cs="Arial"/>
          <w:i/>
          <w:iCs/>
          <w:color w:val="737373" w:themeColor="accent3" w:themeShade="80"/>
          <w:sz w:val="20"/>
          <w:szCs w:val="20"/>
        </w:rPr>
        <w:t>Civitta</w:t>
      </w:r>
      <w:proofErr w:type="spellEnd"/>
      <w:r w:rsidR="000755FE">
        <w:rPr>
          <w:rFonts w:ascii="Arial" w:hAnsi="Arial" w:cs="Arial"/>
          <w:i/>
          <w:iCs/>
          <w:color w:val="737373" w:themeColor="accent3" w:themeShade="80"/>
          <w:sz w:val="20"/>
          <w:szCs w:val="20"/>
        </w:rPr>
        <w:t xml:space="preserve"> </w:t>
      </w:r>
      <w:proofErr w:type="spellStart"/>
      <w:r w:rsidR="000755FE">
        <w:rPr>
          <w:rFonts w:ascii="Arial" w:hAnsi="Arial" w:cs="Arial"/>
          <w:i/>
          <w:iCs/>
          <w:color w:val="737373" w:themeColor="accent3" w:themeShade="80"/>
          <w:sz w:val="20"/>
          <w:szCs w:val="20"/>
        </w:rPr>
        <w:t>veiktā</w:t>
      </w:r>
      <w:proofErr w:type="spellEnd"/>
      <w:r w:rsidR="000755FE">
        <w:rPr>
          <w:rFonts w:ascii="Arial" w:hAnsi="Arial" w:cs="Arial"/>
          <w:i/>
          <w:iCs/>
          <w:color w:val="737373" w:themeColor="accent3" w:themeShade="80"/>
          <w:sz w:val="20"/>
          <w:szCs w:val="20"/>
        </w:rPr>
        <w:t xml:space="preserve"> </w:t>
      </w:r>
      <w:proofErr w:type="spellStart"/>
      <w:r w:rsidR="000755FE">
        <w:rPr>
          <w:rFonts w:ascii="Arial" w:hAnsi="Arial" w:cs="Arial"/>
          <w:i/>
          <w:iCs/>
          <w:color w:val="737373" w:themeColor="accent3" w:themeShade="80"/>
          <w:sz w:val="20"/>
          <w:szCs w:val="20"/>
        </w:rPr>
        <w:t>jauniešu</w:t>
      </w:r>
      <w:proofErr w:type="spellEnd"/>
      <w:r w:rsidR="000755FE">
        <w:rPr>
          <w:rFonts w:ascii="Arial" w:hAnsi="Arial" w:cs="Arial"/>
          <w:i/>
          <w:iCs/>
          <w:color w:val="737373" w:themeColor="accent3" w:themeShade="80"/>
          <w:sz w:val="20"/>
          <w:szCs w:val="20"/>
        </w:rPr>
        <w:t xml:space="preserve"> </w:t>
      </w:r>
      <w:proofErr w:type="spellStart"/>
      <w:r w:rsidR="000755FE">
        <w:rPr>
          <w:rFonts w:ascii="Arial" w:hAnsi="Arial" w:cs="Arial"/>
          <w:i/>
          <w:iCs/>
          <w:color w:val="737373" w:themeColor="accent3" w:themeShade="80"/>
          <w:sz w:val="20"/>
          <w:szCs w:val="20"/>
        </w:rPr>
        <w:t>aptauja</w:t>
      </w:r>
      <w:proofErr w:type="spellEnd"/>
      <w:r w:rsidR="000755FE">
        <w:rPr>
          <w:rFonts w:ascii="Arial" w:hAnsi="Arial" w:cs="Arial"/>
          <w:i/>
          <w:iCs/>
          <w:color w:val="737373" w:themeColor="accent3" w:themeShade="80"/>
          <w:sz w:val="20"/>
          <w:szCs w:val="20"/>
        </w:rPr>
        <w:t xml:space="preserve"> par VAM, N=2205</w:t>
      </w:r>
    </w:p>
    <w:p w14:paraId="0A23C884" w14:textId="71C993F2" w:rsidR="00AC707E" w:rsidRPr="00AC707E" w:rsidRDefault="009E3BF7" w:rsidP="000B5838">
      <w:pPr>
        <w:ind w:left="851"/>
        <w:rPr>
          <w:lang w:val="lv-LV"/>
        </w:rPr>
      </w:pPr>
      <w:r>
        <w:rPr>
          <w:lang w:val="lv-LV"/>
        </w:rPr>
        <w:t>I</w:t>
      </w:r>
      <w:r w:rsidR="00AC707E" w:rsidRPr="00AC707E">
        <w:rPr>
          <w:lang w:val="lv-LV"/>
        </w:rPr>
        <w:t>erobežojošs faktors ir arī nodarbību organizācijas formāts – viena mācību diena mēnesī divu gadu garumā</w:t>
      </w:r>
      <w:r w:rsidR="00FD620C">
        <w:rPr>
          <w:lang w:val="lv-LV"/>
        </w:rPr>
        <w:t>, k</w:t>
      </w:r>
      <w:r w:rsidR="00D73B09">
        <w:rPr>
          <w:lang w:val="lv-LV"/>
        </w:rPr>
        <w:t xml:space="preserve">as </w:t>
      </w:r>
      <w:r w:rsidR="00AC707E" w:rsidRPr="00AC707E">
        <w:rPr>
          <w:lang w:val="lv-LV"/>
        </w:rPr>
        <w:t xml:space="preserve">apgrūtina zināšanu un prasmju sistemātisku nostiprināšanu, rada pārtraukumus mācību procesā un negatīvi ietekmē ieradumu un attieksmju veidošanos. Līdz ar to mērķa </w:t>
      </w:r>
      <w:proofErr w:type="spellStart"/>
      <w:r w:rsidR="00AC707E" w:rsidRPr="00AC707E">
        <w:rPr>
          <w:lang w:val="lv-LV"/>
        </w:rPr>
        <w:t>transformatīvā</w:t>
      </w:r>
      <w:proofErr w:type="spellEnd"/>
      <w:r w:rsidR="00AC707E" w:rsidRPr="00AC707E">
        <w:rPr>
          <w:lang w:val="lv-LV"/>
        </w:rPr>
        <w:t xml:space="preserve"> dimensija (vērtību, uzvedības un rīcībspējas attīstība) tiek sasniegta tikai daļēji</w:t>
      </w:r>
      <w:r w:rsidR="00776F81">
        <w:rPr>
          <w:lang w:val="lv-LV"/>
        </w:rPr>
        <w:t>, ko vēl</w:t>
      </w:r>
      <w:r w:rsidR="00AC707E" w:rsidRPr="00AC707E">
        <w:rPr>
          <w:lang w:val="lv-LV"/>
        </w:rPr>
        <w:t xml:space="preserve"> pastiprina arī nodarbību kavējumu ietekme un mācību procesa fragmentācija.</w:t>
      </w:r>
    </w:p>
    <w:p w14:paraId="62507498" w14:textId="2AE60D28" w:rsidR="00AC707E" w:rsidRPr="00AC707E" w:rsidRDefault="00AC707E" w:rsidP="000B5838">
      <w:pPr>
        <w:ind w:left="851"/>
        <w:rPr>
          <w:lang w:val="lv-LV"/>
        </w:rPr>
      </w:pPr>
      <w:r w:rsidRPr="00AC707E">
        <w:rPr>
          <w:lang w:val="lv-LV"/>
        </w:rPr>
        <w:t xml:space="preserve">Programmas efektivitāti ietekmē arī metodiskie un organizatoriskie aspekti. Lai gan jaunsargu instruktoriem ir būtiska loma mācību procesa kvalitātē un viņu spēja pielāgot saturu ievērojami uzlabo rezultātus, metodiskā pieeja praksē ir nevienmērīga. </w:t>
      </w:r>
      <w:r w:rsidR="00F76FB4">
        <w:rPr>
          <w:lang w:val="lv-LV"/>
        </w:rPr>
        <w:t>I</w:t>
      </w:r>
      <w:r w:rsidRPr="00AC707E">
        <w:rPr>
          <w:lang w:val="lv-LV"/>
        </w:rPr>
        <w:t xml:space="preserve">nfrastruktūras ierobežojumi un nometņu zema </w:t>
      </w:r>
      <w:r w:rsidR="00F76FB4">
        <w:rPr>
          <w:lang w:val="lv-LV"/>
        </w:rPr>
        <w:t>apmeklētība</w:t>
      </w:r>
      <w:r w:rsidR="00F76FB4" w:rsidRPr="00AC707E">
        <w:rPr>
          <w:lang w:val="lv-LV"/>
        </w:rPr>
        <w:t xml:space="preserve"> </w:t>
      </w:r>
      <w:r w:rsidRPr="00AC707E">
        <w:rPr>
          <w:lang w:val="lv-LV"/>
        </w:rPr>
        <w:t>samazina iespējas pilnvērtīgi nostiprināt praktiskās iemaņas</w:t>
      </w:r>
      <w:r w:rsidR="00024CB1">
        <w:rPr>
          <w:lang w:val="lv-LV"/>
        </w:rPr>
        <w:t xml:space="preserve">, </w:t>
      </w:r>
      <w:r w:rsidRPr="00AC707E">
        <w:rPr>
          <w:lang w:val="lv-LV"/>
        </w:rPr>
        <w:t>īpaši pilsētvid</w:t>
      </w:r>
      <w:r w:rsidR="00024CB1">
        <w:rPr>
          <w:lang w:val="lv-LV"/>
        </w:rPr>
        <w:t>ē</w:t>
      </w:r>
      <w:r w:rsidRPr="00AC707E">
        <w:rPr>
          <w:lang w:val="lv-LV"/>
        </w:rPr>
        <w:t>, kur piekļuve piemērotai mācību videi</w:t>
      </w:r>
      <w:r w:rsidR="00024CB1">
        <w:rPr>
          <w:lang w:val="lv-LV"/>
        </w:rPr>
        <w:t xml:space="preserve"> ir apgrūtināta</w:t>
      </w:r>
      <w:r w:rsidRPr="00AC707E">
        <w:rPr>
          <w:lang w:val="lv-LV"/>
        </w:rPr>
        <w:t>.</w:t>
      </w:r>
    </w:p>
    <w:p w14:paraId="678CB5E4" w14:textId="43A014B5" w:rsidR="00AC707E" w:rsidRPr="00AC707E" w:rsidRDefault="00AC707E" w:rsidP="000B5838">
      <w:pPr>
        <w:ind w:left="851"/>
        <w:rPr>
          <w:lang w:val="lv-LV"/>
        </w:rPr>
      </w:pPr>
      <w:r w:rsidRPr="00AC707E">
        <w:rPr>
          <w:lang w:val="lv-LV"/>
        </w:rPr>
        <w:t>Papildus saturiskajām un organizatoriskajām problēmām konstatējama arī nevienmērīga programmas ietekme dažādās skolēnu grupās. Atšķirības vērojamas reģion</w:t>
      </w:r>
      <w:r w:rsidR="00751FDE">
        <w:rPr>
          <w:lang w:val="lv-LV"/>
        </w:rPr>
        <w:t>ālajā</w:t>
      </w:r>
      <w:r w:rsidRPr="00AC707E">
        <w:rPr>
          <w:lang w:val="lv-LV"/>
        </w:rPr>
        <w:t>, izglītības iestā</w:t>
      </w:r>
      <w:r w:rsidR="00751FDE">
        <w:rPr>
          <w:lang w:val="lv-LV"/>
        </w:rPr>
        <w:t>des</w:t>
      </w:r>
      <w:r w:rsidRPr="00AC707E">
        <w:rPr>
          <w:lang w:val="lv-LV"/>
        </w:rPr>
        <w:t xml:space="preserve"> tip</w:t>
      </w:r>
      <w:r w:rsidR="00751FDE">
        <w:rPr>
          <w:lang w:val="lv-LV"/>
        </w:rPr>
        <w:t>a</w:t>
      </w:r>
      <w:r w:rsidRPr="00AC707E">
        <w:rPr>
          <w:lang w:val="lv-LV"/>
        </w:rPr>
        <w:t xml:space="preserve"> un valodas griezumā. </w:t>
      </w:r>
      <w:r w:rsidR="00751FDE">
        <w:rPr>
          <w:lang w:val="lv-LV"/>
        </w:rPr>
        <w:t>Jaunieši ar</w:t>
      </w:r>
      <w:r w:rsidRPr="00AC707E">
        <w:rPr>
          <w:lang w:val="lv-LV"/>
        </w:rPr>
        <w:t xml:space="preserve"> latviešu </w:t>
      </w:r>
      <w:r w:rsidR="002563E3">
        <w:rPr>
          <w:lang w:val="lv-LV"/>
        </w:rPr>
        <w:t xml:space="preserve">dzimto </w:t>
      </w:r>
      <w:r w:rsidRPr="00AC707E">
        <w:rPr>
          <w:lang w:val="lv-LV"/>
        </w:rPr>
        <w:t>valod</w:t>
      </w:r>
      <w:r w:rsidR="002563E3">
        <w:rPr>
          <w:lang w:val="lv-LV"/>
        </w:rPr>
        <w:t xml:space="preserve">u </w:t>
      </w:r>
      <w:r w:rsidRPr="00AC707E">
        <w:rPr>
          <w:lang w:val="lv-LV"/>
        </w:rPr>
        <w:t xml:space="preserve"> biežāk demonstrē augstāku izpratni par pilsoņa lomu valsts aizsardzībā, savukārt skolēniem ar citu dzimto valodu biežāk </w:t>
      </w:r>
      <w:r w:rsidR="002563E3">
        <w:rPr>
          <w:lang w:val="lv-LV"/>
        </w:rPr>
        <w:t>konstatējamas</w:t>
      </w:r>
      <w:r w:rsidR="002563E3" w:rsidRPr="00AC707E">
        <w:rPr>
          <w:lang w:val="lv-LV"/>
        </w:rPr>
        <w:t xml:space="preserve"> </w:t>
      </w:r>
      <w:r w:rsidRPr="00AC707E">
        <w:rPr>
          <w:lang w:val="lv-LV"/>
        </w:rPr>
        <w:t xml:space="preserve">valodas barjeras un zemāka </w:t>
      </w:r>
      <w:r w:rsidR="002563E3">
        <w:rPr>
          <w:lang w:val="lv-LV"/>
        </w:rPr>
        <w:t xml:space="preserve">programmas </w:t>
      </w:r>
      <w:r w:rsidRPr="00AC707E">
        <w:rPr>
          <w:lang w:val="lv-LV"/>
        </w:rPr>
        <w:t xml:space="preserve">mērķu izpratne. Līdzīgas atšķirības novērojamas arī starp reģioniem un </w:t>
      </w:r>
      <w:r w:rsidR="00B963DD">
        <w:rPr>
          <w:lang w:val="lv-LV"/>
        </w:rPr>
        <w:t>izglītības iestāžu</w:t>
      </w:r>
      <w:r w:rsidR="00B963DD" w:rsidRPr="00AC707E">
        <w:rPr>
          <w:lang w:val="lv-LV"/>
        </w:rPr>
        <w:t xml:space="preserve"> </w:t>
      </w:r>
      <w:r w:rsidRPr="00AC707E">
        <w:rPr>
          <w:lang w:val="lv-LV"/>
        </w:rPr>
        <w:t>tipiem, norād</w:t>
      </w:r>
      <w:r w:rsidR="00B963DD">
        <w:rPr>
          <w:lang w:val="lv-LV"/>
        </w:rPr>
        <w:t>ot</w:t>
      </w:r>
      <w:r w:rsidRPr="00AC707E">
        <w:rPr>
          <w:lang w:val="lv-LV"/>
        </w:rPr>
        <w:t xml:space="preserve"> uz nevienlīdzīgu programmas ietekmi</w:t>
      </w:r>
      <w:r w:rsidR="00B963DD">
        <w:rPr>
          <w:lang w:val="lv-LV"/>
        </w:rPr>
        <w:t xml:space="preserve"> dažādās jauniešu grupās</w:t>
      </w:r>
      <w:r w:rsidRPr="00AC707E">
        <w:rPr>
          <w:lang w:val="lv-LV"/>
        </w:rPr>
        <w:t>.</w:t>
      </w:r>
    </w:p>
    <w:p w14:paraId="315DF23E" w14:textId="040089CC" w:rsidR="00AC707E" w:rsidRDefault="00AC707E" w:rsidP="000B5838">
      <w:pPr>
        <w:ind w:left="851"/>
        <w:rPr>
          <w:lang w:val="lv-LV"/>
        </w:rPr>
      </w:pPr>
      <w:r w:rsidRPr="00AC707E">
        <w:rPr>
          <w:lang w:val="lv-LV"/>
        </w:rPr>
        <w:t xml:space="preserve">Ņemot vērā valsts aizsardzības sistēmas izmaiņas, īpaši obligātā valsts aizsardzības dienesta ieviešanu, VAM sākotnējais fokuss uz militāro sagatavotību daļēji zaudē savu sākotnējo aktualitāti. Tas rada nepieciešamību pārskatīt programmas mērķu līdzsvaru, </w:t>
      </w:r>
      <w:r w:rsidR="00BE4DEF">
        <w:rPr>
          <w:lang w:val="lv-LV"/>
        </w:rPr>
        <w:t xml:space="preserve">mērķtiecīgi </w:t>
      </w:r>
      <w:r w:rsidRPr="00AC707E">
        <w:rPr>
          <w:lang w:val="lv-LV"/>
        </w:rPr>
        <w:t>stiprinot pilsoniskās izglītības, krīzes rīcībspējas un sabiedrības noturības komponentes.</w:t>
      </w:r>
    </w:p>
    <w:p w14:paraId="04F32FA5" w14:textId="2B3129F5" w:rsidR="002C2434" w:rsidRDefault="001449EB" w:rsidP="002C2434">
      <w:pPr>
        <w:pStyle w:val="Heading2"/>
        <w:rPr>
          <w:lang w:val="lv-LV"/>
        </w:rPr>
      </w:pPr>
      <w:r>
        <w:rPr>
          <w:noProof/>
          <w:lang w:val="lv-LV"/>
        </w:rPr>
        <w:drawing>
          <wp:anchor distT="0" distB="0" distL="114300" distR="114300" simplePos="0" relativeHeight="251658256" behindDoc="0" locked="0" layoutInCell="1" allowOverlap="1" wp14:anchorId="75BAC57A" wp14:editId="312E81C7">
            <wp:simplePos x="0" y="0"/>
            <wp:positionH relativeFrom="margin">
              <wp:posOffset>0</wp:posOffset>
            </wp:positionH>
            <wp:positionV relativeFrom="paragraph">
              <wp:posOffset>35229</wp:posOffset>
            </wp:positionV>
            <wp:extent cx="539750" cy="539750"/>
            <wp:effectExtent l="0" t="0" r="0" b="0"/>
            <wp:wrapSquare wrapText="bothSides"/>
            <wp:docPr id="600967979" name="Graphic 16" descr="Daily calend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67979" name="Graphic 600967979" descr="Daily calendar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539750" cy="539750"/>
                    </a:xfrm>
                    <a:prstGeom prst="rect">
                      <a:avLst/>
                    </a:prstGeom>
                  </pic:spPr>
                </pic:pic>
              </a:graphicData>
            </a:graphic>
          </wp:anchor>
        </w:drawing>
      </w:r>
      <w:r w:rsidR="008966C4" w:rsidRPr="008966C4">
        <w:t xml:space="preserve"> </w:t>
      </w:r>
      <w:r w:rsidR="008966C4" w:rsidRPr="008966C4">
        <w:rPr>
          <w:lang w:val="lv-LV"/>
        </w:rPr>
        <w:t>Valsts aizsardzības mācības un jaunsargu interešu izglītības programmas pārskatīšana un aktualizēšana</w:t>
      </w:r>
    </w:p>
    <w:p w14:paraId="7790ACF0" w14:textId="0902C0B8" w:rsidR="001449EB" w:rsidRPr="001449EB" w:rsidRDefault="001449EB" w:rsidP="001449EB">
      <w:pPr>
        <w:rPr>
          <w:lang w:val="lv-LV"/>
        </w:rPr>
      </w:pPr>
      <w:r w:rsidRPr="001449EB">
        <w:rPr>
          <w:lang w:val="lv-LV"/>
        </w:rPr>
        <w:t xml:space="preserve">VAM un Jaunsardzes programmu pārskatīšanas un aktualizēšanas sistēma kopumā tiek vērtēta kā funkcionāla, taču ar atšķirīgu elastības un regulējuma nepieciešamību abām programmām. </w:t>
      </w:r>
      <w:r w:rsidR="00220D0E">
        <w:rPr>
          <w:lang w:val="lv-LV"/>
        </w:rPr>
        <w:t>Būtiski uzsvērt</w:t>
      </w:r>
      <w:r w:rsidR="00FF27AD">
        <w:rPr>
          <w:lang w:val="lv-LV"/>
        </w:rPr>
        <w:t xml:space="preserve">, </w:t>
      </w:r>
      <w:r w:rsidR="00FF27AD">
        <w:rPr>
          <w:lang w:val="lv-LV"/>
        </w:rPr>
        <w:lastRenderedPageBreak/>
        <w:t>ka pr</w:t>
      </w:r>
      <w:r w:rsidRPr="001449EB">
        <w:rPr>
          <w:lang w:val="lv-LV"/>
        </w:rPr>
        <w:t>ogrammu kvalitāti un atbilstību mērķiem nenosaka pārskatīšanas biežums, bet gan tas, cik mērķtiecīgi un savlaicīgi tiek identificēta nepieciešamība pēc izmaiņām un cik efektīvi tās tiek ieviestas praksē.</w:t>
      </w:r>
    </w:p>
    <w:p w14:paraId="4519C9F4" w14:textId="4D101495" w:rsidR="001449EB" w:rsidRPr="001449EB" w:rsidRDefault="003C5F05" w:rsidP="001449EB">
      <w:pPr>
        <w:ind w:left="851"/>
        <w:rPr>
          <w:lang w:val="lv-LV"/>
        </w:rPr>
      </w:pPr>
      <w:r w:rsidRPr="003B71CB">
        <w:rPr>
          <w:noProof/>
          <w:lang w:val="lv-LV"/>
        </w:rPr>
        <mc:AlternateContent>
          <mc:Choice Requires="wps">
            <w:drawing>
              <wp:anchor distT="0" distB="0" distL="114300" distR="114300" simplePos="0" relativeHeight="251658247" behindDoc="0" locked="0" layoutInCell="1" allowOverlap="1" wp14:anchorId="5944498A" wp14:editId="4742F54D">
                <wp:simplePos x="0" y="0"/>
                <wp:positionH relativeFrom="margin">
                  <wp:align>left</wp:align>
                </wp:positionH>
                <wp:positionV relativeFrom="paragraph">
                  <wp:posOffset>17145</wp:posOffset>
                </wp:positionV>
                <wp:extent cx="359410" cy="5405120"/>
                <wp:effectExtent l="0" t="0" r="0" b="5080"/>
                <wp:wrapThrough wrapText="bothSides">
                  <wp:wrapPolygon edited="0">
                    <wp:start x="0" y="0"/>
                    <wp:lineTo x="0" y="21570"/>
                    <wp:lineTo x="20608" y="21570"/>
                    <wp:lineTo x="20608" y="0"/>
                    <wp:lineTo x="0" y="0"/>
                  </wp:wrapPolygon>
                </wp:wrapThrough>
                <wp:docPr id="2004877240" name="Rectangle 2"/>
                <wp:cNvGraphicFramePr/>
                <a:graphic xmlns:a="http://schemas.openxmlformats.org/drawingml/2006/main">
                  <a:graphicData uri="http://schemas.microsoft.com/office/word/2010/wordprocessingShape">
                    <wps:wsp>
                      <wps:cNvSpPr/>
                      <wps:spPr>
                        <a:xfrm>
                          <a:off x="0" y="0"/>
                          <a:ext cx="359410" cy="5405378"/>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xmlns:c="http://schemas.openxmlformats.org/drawingml/2006/chart">
            <w:pict>
              <v:rect id="Rectangle 2" style="position:absolute;margin-left:0;margin-top:1.35pt;width:28.3pt;height:425.6pt;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f3b8ff [665]" stroked="f" strokeweight="1pt" w14:anchorId="6CAFD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">
                <w10:wrap type="through" anchorx="margin"/>
              </v:rect>
            </w:pict>
          </mc:Fallback>
        </mc:AlternateContent>
      </w:r>
      <w:r w:rsidR="001449EB" w:rsidRPr="001449EB">
        <w:rPr>
          <w:lang w:val="lv-LV"/>
        </w:rPr>
        <w:t xml:space="preserve">VAM gadījumā esošais normatīvais regulējums, kas paredz programmas pārskatīšanu ne retāk kā reizi divos gados, kopumā tiek vērtēts kā piemērots monitoringa instruments. Tas nodrošina regulāru iespēju izvērtēt programmas aktualitāti, taču pats par sevi nenosaka obligātu saturisku izmaiņu nepieciešamību. </w:t>
      </w:r>
      <w:r w:rsidR="004122E8">
        <w:rPr>
          <w:lang w:val="lv-LV"/>
        </w:rPr>
        <w:t>P</w:t>
      </w:r>
      <w:r w:rsidR="001449EB" w:rsidRPr="001449EB">
        <w:rPr>
          <w:lang w:val="lv-LV"/>
        </w:rPr>
        <w:t>ārskatīšanas perioda formālais garums ir mazāk būtisks</w:t>
      </w:r>
      <w:r w:rsidR="00677075">
        <w:rPr>
          <w:lang w:val="lv-LV"/>
        </w:rPr>
        <w:t xml:space="preserve">, svarīgāka ir </w:t>
      </w:r>
      <w:r w:rsidR="001449EB" w:rsidRPr="001449EB">
        <w:rPr>
          <w:lang w:val="lv-LV"/>
        </w:rPr>
        <w:t xml:space="preserve"> elastīga pieeja, kas ļauj reaģēt uz reālām izmaiņām aizsardzības politikā, ģeopolitiskajā situācijā un tehnoloģiju attīstībā. </w:t>
      </w:r>
      <w:r w:rsidR="0056378E">
        <w:rPr>
          <w:lang w:val="lv-LV"/>
        </w:rPr>
        <w:t>E</w:t>
      </w:r>
      <w:r w:rsidR="001449EB" w:rsidRPr="001449EB">
        <w:rPr>
          <w:lang w:val="lv-LV"/>
        </w:rPr>
        <w:t>fektīvākais risinājums būtu atšķirt divus līmeņus – tehniskus un metodiskus uzlabojumus, kurus var veikt biežāk, un dziļākas saturiskas izmaiņas, kuras īsteno</w:t>
      </w:r>
      <w:r w:rsidR="000943AD">
        <w:rPr>
          <w:lang w:val="lv-LV"/>
        </w:rPr>
        <w:t>jamas</w:t>
      </w:r>
      <w:r w:rsidR="001449EB" w:rsidRPr="001449EB">
        <w:rPr>
          <w:lang w:val="lv-LV"/>
        </w:rPr>
        <w:t xml:space="preserve"> tikai pēc būtiskas nepieciešamības.</w:t>
      </w:r>
    </w:p>
    <w:p w14:paraId="130DF7E3" w14:textId="784C468E" w:rsidR="001449EB" w:rsidRPr="001449EB" w:rsidRDefault="001449EB" w:rsidP="001449EB">
      <w:pPr>
        <w:ind w:left="851"/>
        <w:rPr>
          <w:lang w:val="lv-LV"/>
        </w:rPr>
      </w:pPr>
      <w:r w:rsidRPr="001449EB">
        <w:rPr>
          <w:lang w:val="lv-LV"/>
        </w:rPr>
        <w:t xml:space="preserve">VAM programmas aktualizēšana ir cieši saistīta ar plašāku sistēmisku procesu, tostarp iepirkumiem, jaunsargu instruktoru apmācību un metodisko materiālu pielāgošanu, kas prasa </w:t>
      </w:r>
      <w:r w:rsidR="00482838">
        <w:rPr>
          <w:lang w:val="lv-LV"/>
        </w:rPr>
        <w:t xml:space="preserve">pietiekamu sagatavošanās </w:t>
      </w:r>
      <w:r w:rsidRPr="001449EB">
        <w:rPr>
          <w:lang w:val="lv-LV"/>
        </w:rPr>
        <w:t>laiku. Līdz ar to divu gadu cikls ir piemērots kā regulārs izvērtēšanas instruments, bet ne kā automātisks pamats saturiskām reformām. Perspektīvā</w:t>
      </w:r>
      <w:r w:rsidR="00FA25BA">
        <w:rPr>
          <w:lang w:val="lv-LV"/>
        </w:rPr>
        <w:t>,</w:t>
      </w:r>
      <w:r w:rsidRPr="001449EB">
        <w:rPr>
          <w:lang w:val="lv-LV"/>
        </w:rPr>
        <w:t xml:space="preserve"> programmai nostabilizējoties, pārskatīšanas ciklu varētu pagarināt līdz pieciem gadiem, saglabājot elastību starpposma korekcijām.</w:t>
      </w:r>
    </w:p>
    <w:p w14:paraId="773289E7" w14:textId="7D5879C3" w:rsidR="001449EB" w:rsidRPr="001449EB" w:rsidRDefault="001449EB" w:rsidP="001449EB">
      <w:pPr>
        <w:ind w:left="851"/>
        <w:rPr>
          <w:lang w:val="lv-LV"/>
        </w:rPr>
      </w:pPr>
      <w:r w:rsidRPr="001449EB">
        <w:rPr>
          <w:lang w:val="lv-LV"/>
        </w:rPr>
        <w:t>Jaunsar</w:t>
      </w:r>
      <w:r w:rsidR="00E20CE8">
        <w:rPr>
          <w:lang w:val="lv-LV"/>
        </w:rPr>
        <w:t>gu</w:t>
      </w:r>
      <w:r w:rsidRPr="001449EB">
        <w:rPr>
          <w:lang w:val="lv-LV"/>
        </w:rPr>
        <w:t xml:space="preserve"> interešu izglītības programmas gadījumā tās saturs nav tieši piesaistīts valsts izglītības standartam un tāpēc ir dinamiskāks. Starptautiskā prakse norāda, ka interešu izglītības programmas parasti tiek pārskatītas pēc nepieciešamības, biežāk reizi 5</w:t>
      </w:r>
      <w:r w:rsidR="00BF343F">
        <w:rPr>
          <w:lang w:val="lv-LV"/>
        </w:rPr>
        <w:t xml:space="preserve"> līdz </w:t>
      </w:r>
      <w:r w:rsidRPr="001449EB">
        <w:rPr>
          <w:lang w:val="lv-LV"/>
        </w:rPr>
        <w:t>10 gados, vai arī tad, kad to nosaka būtiskas izmaiņas saturā, kompetencēs vai ārējā vidē. Šajā kontekstā</w:t>
      </w:r>
      <w:r w:rsidR="00943FEC">
        <w:rPr>
          <w:lang w:val="lv-LV"/>
        </w:rPr>
        <w:t xml:space="preserve"> ir</w:t>
      </w:r>
      <w:r w:rsidRPr="001449EB">
        <w:rPr>
          <w:lang w:val="lv-LV"/>
        </w:rPr>
        <w:t xml:space="preserve"> būtiski, lai pārskatīšana būtu balstīta skaidri definētos mērķos un datu analīzē, nevis formāli noteiktos termiņos.</w:t>
      </w:r>
    </w:p>
    <w:p w14:paraId="28C15827" w14:textId="46441C0F" w:rsidR="001449EB" w:rsidRPr="001449EB" w:rsidRDefault="001449EB" w:rsidP="001449EB">
      <w:pPr>
        <w:ind w:left="851"/>
        <w:rPr>
          <w:lang w:val="lv-LV"/>
        </w:rPr>
      </w:pPr>
      <w:r w:rsidRPr="001449EB">
        <w:rPr>
          <w:lang w:val="lv-LV"/>
        </w:rPr>
        <w:t>Jaunsardzes programma jau šobrīd tiek regulāri pilnveidota, tomēr tās attīstības temps ne vienmēr sakrīt ar praktisk</w:t>
      </w:r>
      <w:r w:rsidR="005E7495">
        <w:rPr>
          <w:lang w:val="lv-LV"/>
        </w:rPr>
        <w:t>ās</w:t>
      </w:r>
      <w:r w:rsidRPr="001449EB">
        <w:rPr>
          <w:lang w:val="lv-LV"/>
        </w:rPr>
        <w:t xml:space="preserve"> ieviešanas kapacitāti, īpaši attiecībā uz jaunu tehnoloģiju un apmācību elementu (piemēram, dronu izmantošanas) integrāciju. Tas liecina par nepieciešamību nodrošināt ciešāku sasaisti starp satura attīstību un materiāltehnisko un cilvēkresursu gatavību.</w:t>
      </w:r>
    </w:p>
    <w:p w14:paraId="0C1461A8" w14:textId="07E6BA53" w:rsidR="002C2434" w:rsidRDefault="00FF79C3" w:rsidP="001449EB">
      <w:pPr>
        <w:ind w:left="851"/>
        <w:rPr>
          <w:lang w:val="lv-LV"/>
        </w:rPr>
      </w:pPr>
      <w:r>
        <w:rPr>
          <w:lang w:val="lv-LV"/>
        </w:rPr>
        <w:t xml:space="preserve">Kā perspektīvs risinājums </w:t>
      </w:r>
      <w:r w:rsidR="001449EB" w:rsidRPr="001449EB">
        <w:rPr>
          <w:lang w:val="lv-LV"/>
        </w:rPr>
        <w:t>ir</w:t>
      </w:r>
      <w:r>
        <w:rPr>
          <w:lang w:val="lv-LV"/>
        </w:rPr>
        <w:t xml:space="preserve"> identificēta</w:t>
      </w:r>
      <w:r w:rsidR="001449EB" w:rsidRPr="001449EB">
        <w:rPr>
          <w:lang w:val="lv-LV"/>
        </w:rPr>
        <w:t xml:space="preserve"> Jaunsardzes programmas pārskatīšan</w:t>
      </w:r>
      <w:r w:rsidR="00EB0F8D">
        <w:rPr>
          <w:lang w:val="lv-LV"/>
        </w:rPr>
        <w:t>as</w:t>
      </w:r>
      <w:r w:rsidR="001449EB" w:rsidRPr="001449EB">
        <w:rPr>
          <w:lang w:val="lv-LV"/>
        </w:rPr>
        <w:t xml:space="preserve"> sasaistī</w:t>
      </w:r>
      <w:r w:rsidR="002A43D0">
        <w:rPr>
          <w:lang w:val="lv-LV"/>
        </w:rPr>
        <w:t>šana</w:t>
      </w:r>
      <w:r w:rsidR="001449EB" w:rsidRPr="001449EB">
        <w:rPr>
          <w:lang w:val="lv-LV"/>
        </w:rPr>
        <w:t xml:space="preserve"> ar plašākiem aizsardzības sistēmas plānošanas cikliem, piemēram, Nacionālo bruņoto spēku attīstības plānu (četr</w:t>
      </w:r>
      <w:r w:rsidR="00BD233E">
        <w:rPr>
          <w:lang w:val="lv-LV"/>
        </w:rPr>
        <w:t xml:space="preserve">u </w:t>
      </w:r>
      <w:r w:rsidR="001449EB" w:rsidRPr="001449EB">
        <w:rPr>
          <w:lang w:val="lv-LV"/>
        </w:rPr>
        <w:t>gadu cikls). Šāda pieeja nodrošinātu stratēģisku saskaņotību starp jauniešu sagatavošanu un nākotnes dienesta vajadzībām, vienlaikus stiprinot programmas ilgtermiņa efektivitāti.</w:t>
      </w:r>
    </w:p>
    <w:p w14:paraId="37B409E4" w14:textId="4F4A5E85" w:rsidR="00D8073E" w:rsidRDefault="005E31DF" w:rsidP="005E31DF">
      <w:pPr>
        <w:pStyle w:val="Heading2"/>
        <w:rPr>
          <w:lang w:val="lv-LV"/>
        </w:rPr>
      </w:pPr>
      <w:r>
        <w:rPr>
          <w:noProof/>
          <w:lang w:val="lv-LV"/>
        </w:rPr>
        <w:drawing>
          <wp:anchor distT="0" distB="0" distL="114300" distR="114300" simplePos="0" relativeHeight="251658257" behindDoc="0" locked="0" layoutInCell="1" allowOverlap="1" wp14:anchorId="7AFAC5FE" wp14:editId="13C6211F">
            <wp:simplePos x="0" y="0"/>
            <wp:positionH relativeFrom="margin">
              <wp:posOffset>0</wp:posOffset>
            </wp:positionH>
            <wp:positionV relativeFrom="paragraph">
              <wp:posOffset>21590</wp:posOffset>
            </wp:positionV>
            <wp:extent cx="540000" cy="540000"/>
            <wp:effectExtent l="0" t="0" r="0" b="0"/>
            <wp:wrapSquare wrapText="bothSides"/>
            <wp:docPr id="1039965412" name="Graphic 15" descr="Blockchai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761925" name="Graphic 443761925" descr="Blockchain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540000" cy="540000"/>
                    </a:xfrm>
                    <a:prstGeom prst="rect">
                      <a:avLst/>
                    </a:prstGeom>
                  </pic:spPr>
                </pic:pic>
              </a:graphicData>
            </a:graphic>
          </wp:anchor>
        </w:drawing>
      </w:r>
      <w:r w:rsidRPr="005E31DF">
        <w:rPr>
          <w:lang w:val="lv-LV"/>
        </w:rPr>
        <w:t>Jaunsargu interešu izglītības programmas atbilstība mērķa sasniegšanai</w:t>
      </w:r>
    </w:p>
    <w:p w14:paraId="0E5E26D4" w14:textId="25B84584" w:rsidR="00DF2DB8" w:rsidRPr="00DF2DB8" w:rsidRDefault="00DF2DB8" w:rsidP="00DF2DB8">
      <w:pPr>
        <w:rPr>
          <w:lang w:val="lv-LV"/>
        </w:rPr>
      </w:pPr>
      <w:r w:rsidRPr="00DF2DB8">
        <w:rPr>
          <w:lang w:val="lv-LV"/>
        </w:rPr>
        <w:t>Jaunsargu interešu izglītības programma</w:t>
      </w:r>
      <w:r w:rsidR="005E31DF">
        <w:rPr>
          <w:lang w:val="lv-LV"/>
        </w:rPr>
        <w:t xml:space="preserve"> ir </w:t>
      </w:r>
      <w:r w:rsidRPr="00DF2DB8">
        <w:rPr>
          <w:lang w:val="lv-LV"/>
        </w:rPr>
        <w:t>atbilst</w:t>
      </w:r>
      <w:r w:rsidR="005E31DF">
        <w:rPr>
          <w:lang w:val="lv-LV"/>
        </w:rPr>
        <w:t>oša</w:t>
      </w:r>
      <w:r w:rsidRPr="00DF2DB8">
        <w:rPr>
          <w:lang w:val="lv-LV"/>
        </w:rPr>
        <w:t xml:space="preserve"> Likumā noteiktajam mērķim – veidot dzīvei nepieciešamās iemaņas un attieksmes, pilsonisko apziņu un patriotismu, kā arī veicināt mērķtiecīgu izglītošanos valsts aizsardzības jomā. Programmas mērķis ir plašāks, jo tas vienlaikus aptver gan militārās un pilsoniskās kompetences, gan personības attīstības aspektus, tostarp sadarbību, disciplīnu un fizisko sagatavotību. Programmas īstenošana astoņu gadu garumā ar regulārām nodarbībām un ikmēneša </w:t>
      </w:r>
      <w:r w:rsidR="007433F9">
        <w:rPr>
          <w:lang w:val="lv-LV"/>
        </w:rPr>
        <w:t xml:space="preserve">aktivitātēm (piemēram, </w:t>
      </w:r>
      <w:r w:rsidRPr="00DF2DB8">
        <w:rPr>
          <w:lang w:val="lv-LV"/>
        </w:rPr>
        <w:t>nometnēm</w:t>
      </w:r>
      <w:r w:rsidR="007433F9">
        <w:rPr>
          <w:lang w:val="lv-LV"/>
        </w:rPr>
        <w:t>)</w:t>
      </w:r>
      <w:r w:rsidRPr="00DF2DB8">
        <w:rPr>
          <w:lang w:val="lv-LV"/>
        </w:rPr>
        <w:t xml:space="preserve"> nodrošina pakāpenisku un vecumposmam atbilstošu kompetenču attīstību.</w:t>
      </w:r>
    </w:p>
    <w:p w14:paraId="76AE7524" w14:textId="5F40B8BE" w:rsidR="00DF2DB8" w:rsidRPr="00DF2DB8" w:rsidRDefault="00246CA7" w:rsidP="00246CA7">
      <w:pPr>
        <w:ind w:left="851"/>
        <w:rPr>
          <w:lang w:val="lv-LV"/>
        </w:rPr>
      </w:pPr>
      <w:r w:rsidRPr="003B71CB">
        <w:rPr>
          <w:noProof/>
          <w:lang w:val="lv-LV"/>
        </w:rPr>
        <mc:AlternateContent>
          <mc:Choice Requires="wps">
            <w:drawing>
              <wp:anchor distT="0" distB="0" distL="114300" distR="114300" simplePos="0" relativeHeight="251658262" behindDoc="0" locked="0" layoutInCell="1" allowOverlap="1" wp14:anchorId="0D0B5D93" wp14:editId="484E9846">
                <wp:simplePos x="0" y="0"/>
                <wp:positionH relativeFrom="margin">
                  <wp:align>left</wp:align>
                </wp:positionH>
                <wp:positionV relativeFrom="paragraph">
                  <wp:posOffset>19685</wp:posOffset>
                </wp:positionV>
                <wp:extent cx="360000" cy="504000"/>
                <wp:effectExtent l="0" t="0" r="2540" b="0"/>
                <wp:wrapThrough wrapText="bothSides">
                  <wp:wrapPolygon edited="0">
                    <wp:start x="0" y="0"/>
                    <wp:lineTo x="0" y="20429"/>
                    <wp:lineTo x="20608" y="20429"/>
                    <wp:lineTo x="20608" y="0"/>
                    <wp:lineTo x="0" y="0"/>
                  </wp:wrapPolygon>
                </wp:wrapThrough>
                <wp:docPr id="745238151" name="Rectangle 2"/>
                <wp:cNvGraphicFramePr/>
                <a:graphic xmlns:a="http://schemas.openxmlformats.org/drawingml/2006/main">
                  <a:graphicData uri="http://schemas.microsoft.com/office/word/2010/wordprocessingShape">
                    <wps:wsp>
                      <wps:cNvSpPr/>
                      <wps:spPr>
                        <a:xfrm>
                          <a:off x="0" y="0"/>
                          <a:ext cx="360000" cy="50400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xmlns:c="http://schemas.openxmlformats.org/drawingml/2006/chart">
            <w:pict>
              <v:rect id="Rectangle 2" style="position:absolute;margin-left:0;margin-top:1.55pt;width:28.35pt;height:39.7pt;z-index:25165826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f3b8ff [665]" stroked="f" strokeweight="1pt" w14:anchorId="5A35C8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">
                <w10:wrap type="through" anchorx="margin"/>
              </v:rect>
            </w:pict>
          </mc:Fallback>
        </mc:AlternateContent>
      </w:r>
      <w:r w:rsidR="00DF2DB8" w:rsidRPr="00DF2DB8">
        <w:rPr>
          <w:lang w:val="lv-LV"/>
        </w:rPr>
        <w:t xml:space="preserve">Programmas saturs ir strukturēts loģiski un secīgi, nodrošinot tematu attīstību ar pieaugošu sarežģītības pakāpi. </w:t>
      </w:r>
      <w:r w:rsidR="00F20A2B">
        <w:rPr>
          <w:lang w:val="lv-LV"/>
        </w:rPr>
        <w:t>Ir</w:t>
      </w:r>
      <w:r w:rsidR="00DF2DB8" w:rsidRPr="00DF2DB8">
        <w:rPr>
          <w:lang w:val="lv-LV"/>
        </w:rPr>
        <w:t xml:space="preserve"> redzama sistemātiska zināšanu padziļināšana un praktiska nostiprināšana dažādos vecumposmos</w:t>
      </w:r>
      <w:r w:rsidR="00171EFF">
        <w:rPr>
          <w:lang w:val="lv-LV"/>
        </w:rPr>
        <w:t>,</w:t>
      </w:r>
      <w:r w:rsidR="00DF2DB8" w:rsidRPr="00DF2DB8">
        <w:rPr>
          <w:lang w:val="lv-LV"/>
        </w:rPr>
        <w:t xml:space="preserve"> </w:t>
      </w:r>
      <w:r w:rsidR="00171EFF">
        <w:rPr>
          <w:lang w:val="lv-LV"/>
        </w:rPr>
        <w:t>p</w:t>
      </w:r>
      <w:r w:rsidR="00DF2DB8" w:rsidRPr="00DF2DB8">
        <w:rPr>
          <w:lang w:val="lv-LV"/>
        </w:rPr>
        <w:t xml:space="preserve">iemēram, pilsoniskās izglītības un lokālās vēstures tēmas tiek attīstītas </w:t>
      </w:r>
      <w:r w:rsidRPr="003B71CB">
        <w:rPr>
          <w:noProof/>
          <w:lang w:val="lv-LV"/>
        </w:rPr>
        <mc:AlternateContent>
          <mc:Choice Requires="wps">
            <w:drawing>
              <wp:anchor distT="0" distB="0" distL="114300" distR="114300" simplePos="0" relativeHeight="251658263" behindDoc="0" locked="0" layoutInCell="1" allowOverlap="1" wp14:anchorId="118CD759" wp14:editId="0A9CE38F">
                <wp:simplePos x="0" y="0"/>
                <wp:positionH relativeFrom="margin">
                  <wp:align>left</wp:align>
                </wp:positionH>
                <wp:positionV relativeFrom="paragraph">
                  <wp:posOffset>22</wp:posOffset>
                </wp:positionV>
                <wp:extent cx="359410" cy="864000"/>
                <wp:effectExtent l="0" t="0" r="2540" b="0"/>
                <wp:wrapThrough wrapText="bothSides">
                  <wp:wrapPolygon edited="0">
                    <wp:start x="0" y="0"/>
                    <wp:lineTo x="0" y="20965"/>
                    <wp:lineTo x="20608" y="20965"/>
                    <wp:lineTo x="20608" y="0"/>
                    <wp:lineTo x="0" y="0"/>
                  </wp:wrapPolygon>
                </wp:wrapThrough>
                <wp:docPr id="647332215" name="Rectangle 2"/>
                <wp:cNvGraphicFramePr/>
                <a:graphic xmlns:a="http://schemas.openxmlformats.org/drawingml/2006/main">
                  <a:graphicData uri="http://schemas.microsoft.com/office/word/2010/wordprocessingShape">
                    <wps:wsp>
                      <wps:cNvSpPr/>
                      <wps:spPr>
                        <a:xfrm>
                          <a:off x="0" y="0"/>
                          <a:ext cx="359410" cy="86400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xmlns:c="http://schemas.openxmlformats.org/drawingml/2006/chart">
            <w:pict>
              <v:rect id="Rectangle 2" style="position:absolute;margin-left:0;margin-top:0;width:28.3pt;height:68.05pt;z-index:25165826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f3b8ff [665]" stroked="f" strokeweight="1pt" w14:anchorId="6E7006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">
                <w10:wrap type="through" anchorx="margin"/>
              </v:rect>
            </w:pict>
          </mc:Fallback>
        </mc:AlternateContent>
      </w:r>
      <w:r w:rsidR="00DF2DB8" w:rsidRPr="00DF2DB8">
        <w:rPr>
          <w:lang w:val="lv-LV"/>
        </w:rPr>
        <w:t xml:space="preserve">no vienkāršas apkārtnes iepazīšanas līdz sarežģītākiem valsts drošības un atbildības jautājumiem. Vienlaikus </w:t>
      </w:r>
      <w:r w:rsidR="00407482">
        <w:rPr>
          <w:lang w:val="lv-LV"/>
        </w:rPr>
        <w:t>analīze atklāj</w:t>
      </w:r>
      <w:r w:rsidR="00DF2DB8" w:rsidRPr="00DF2DB8">
        <w:rPr>
          <w:lang w:val="lv-LV"/>
        </w:rPr>
        <w:t xml:space="preserve">, ka nepietiekama izpratne par programmas struktūru </w:t>
      </w:r>
      <w:r w:rsidR="003610F4" w:rsidRPr="003B71CB">
        <w:rPr>
          <w:noProof/>
          <w:lang w:val="lv-LV"/>
        </w:rPr>
        <w:lastRenderedPageBreak/>
        <mc:AlternateContent>
          <mc:Choice Requires="wps">
            <w:drawing>
              <wp:anchor distT="0" distB="0" distL="114300" distR="114300" simplePos="0" relativeHeight="251658264" behindDoc="0" locked="0" layoutInCell="1" allowOverlap="1" wp14:anchorId="5F434250" wp14:editId="152A7C35">
                <wp:simplePos x="0" y="0"/>
                <wp:positionH relativeFrom="margin">
                  <wp:align>left</wp:align>
                </wp:positionH>
                <wp:positionV relativeFrom="paragraph">
                  <wp:posOffset>547</wp:posOffset>
                </wp:positionV>
                <wp:extent cx="359410" cy="504000"/>
                <wp:effectExtent l="0" t="0" r="2540" b="0"/>
                <wp:wrapThrough wrapText="bothSides">
                  <wp:wrapPolygon edited="0">
                    <wp:start x="0" y="0"/>
                    <wp:lineTo x="0" y="20429"/>
                    <wp:lineTo x="20608" y="20429"/>
                    <wp:lineTo x="20608" y="0"/>
                    <wp:lineTo x="0" y="0"/>
                  </wp:wrapPolygon>
                </wp:wrapThrough>
                <wp:docPr id="472221656" name="Rectangle 2"/>
                <wp:cNvGraphicFramePr/>
                <a:graphic xmlns:a="http://schemas.openxmlformats.org/drawingml/2006/main">
                  <a:graphicData uri="http://schemas.microsoft.com/office/word/2010/wordprocessingShape">
                    <wps:wsp>
                      <wps:cNvSpPr/>
                      <wps:spPr>
                        <a:xfrm>
                          <a:off x="0" y="0"/>
                          <a:ext cx="359410" cy="50400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xmlns:c="http://schemas.openxmlformats.org/drawingml/2006/chart">
            <w:pict>
              <v:rect id="Rectangle 2" style="position:absolute;margin-left:0;margin-top:.05pt;width:28.3pt;height:39.7pt;z-index:251658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f3b8ff [665]" stroked="f" strokeweight="1pt" w14:anchorId="63FDB7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">
                <w10:wrap type="through" anchorx="margin"/>
              </v:rect>
            </w:pict>
          </mc:Fallback>
        </mc:AlternateContent>
      </w:r>
      <w:r w:rsidR="00DC2B5B">
        <w:rPr>
          <w:lang w:val="lv-LV"/>
        </w:rPr>
        <w:t xml:space="preserve">atsevišķu </w:t>
      </w:r>
      <w:r w:rsidR="00DF2DB8" w:rsidRPr="00DF2DB8">
        <w:rPr>
          <w:lang w:val="lv-LV"/>
        </w:rPr>
        <w:t>jaunsargu instruktoru vidū var radīt priekšstatu par atkārtošanos, kas norāda uz nepieciešamību pilnveidot metodisko skaidrojumu un</w:t>
      </w:r>
      <w:r w:rsidR="00886863">
        <w:rPr>
          <w:lang w:val="lv-LV"/>
        </w:rPr>
        <w:t xml:space="preserve"> instruktoru</w:t>
      </w:r>
      <w:r w:rsidR="00DF2DB8" w:rsidRPr="00DF2DB8">
        <w:rPr>
          <w:lang w:val="lv-LV"/>
        </w:rPr>
        <w:t xml:space="preserve"> atbalstu</w:t>
      </w:r>
      <w:r w:rsidR="00886863">
        <w:rPr>
          <w:lang w:val="lv-LV"/>
        </w:rPr>
        <w:t xml:space="preserve"> programmas ieviešanas procesā</w:t>
      </w:r>
      <w:r w:rsidR="00DF2DB8" w:rsidRPr="00DF2DB8">
        <w:rPr>
          <w:lang w:val="lv-LV"/>
        </w:rPr>
        <w:t>.</w:t>
      </w:r>
    </w:p>
    <w:p w14:paraId="1A9E71D6" w14:textId="247D5A95" w:rsidR="00923B45" w:rsidRDefault="00923B45" w:rsidP="00923B45">
      <w:pPr>
        <w:pStyle w:val="GraphTitle"/>
        <w:numPr>
          <w:ilvl w:val="0"/>
          <w:numId w:val="0"/>
        </w:numPr>
        <w:ind w:left="357" w:hanging="357"/>
      </w:pPr>
      <w:r>
        <w:t>Jaunsargu vērtējums par nodarbību formātu, %</w:t>
      </w:r>
    </w:p>
    <w:p w14:paraId="4B81E600" w14:textId="000FC4A6" w:rsidR="00923B45" w:rsidRDefault="00923B45" w:rsidP="00923B45">
      <w:pPr>
        <w:widowControl w:val="0"/>
        <w:autoSpaceDE w:val="0"/>
        <w:autoSpaceDN w:val="0"/>
        <w:adjustRightInd w:val="0"/>
        <w:spacing w:before="0" w:line="240" w:lineRule="auto"/>
        <w:ind w:right="74"/>
        <w:rPr>
          <w:rFonts w:eastAsia="Times New Roman"/>
          <w:color w:val="000000"/>
          <w:highlight w:val="yellow"/>
        </w:rPr>
      </w:pPr>
      <w:r>
        <w:rPr>
          <w:noProof/>
        </w:rPr>
        <w:drawing>
          <wp:inline distT="0" distB="0" distL="0" distR="0" wp14:anchorId="1F5B25FB" wp14:editId="7ABBCD65">
            <wp:extent cx="6471920" cy="2390114"/>
            <wp:effectExtent l="0" t="0" r="5080" b="0"/>
            <wp:docPr id="140815552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1615DDF" w14:textId="311B2153" w:rsidR="00923B45" w:rsidRPr="004740FC" w:rsidRDefault="00923B45" w:rsidP="00923B45">
      <w:pPr>
        <w:jc w:val="right"/>
        <w:rPr>
          <w:sz w:val="20"/>
          <w:szCs w:val="20"/>
          <w:highlight w:val="yellow"/>
        </w:rPr>
      </w:pPr>
      <w:r w:rsidRPr="004740FC">
        <w:rPr>
          <w:rFonts w:ascii="Arial" w:hAnsi="Arial" w:cs="Arial"/>
          <w:i/>
          <w:iCs/>
          <w:color w:val="737373" w:themeColor="accent3" w:themeShade="80"/>
          <w:sz w:val="20"/>
          <w:szCs w:val="20"/>
        </w:rPr>
        <w:t xml:space="preserve">Avots: </w:t>
      </w:r>
      <w:proofErr w:type="spellStart"/>
      <w:r>
        <w:rPr>
          <w:rFonts w:ascii="Arial" w:hAnsi="Arial" w:cs="Arial"/>
          <w:i/>
          <w:iCs/>
          <w:color w:val="737373" w:themeColor="accent3" w:themeShade="80"/>
          <w:sz w:val="20"/>
          <w:szCs w:val="20"/>
        </w:rPr>
        <w:t>Civitta</w:t>
      </w:r>
      <w:proofErr w:type="spellEnd"/>
      <w:r>
        <w:rPr>
          <w:rFonts w:ascii="Arial" w:hAnsi="Arial" w:cs="Arial"/>
          <w:i/>
          <w:iCs/>
          <w:color w:val="737373" w:themeColor="accent3" w:themeShade="80"/>
          <w:sz w:val="20"/>
          <w:szCs w:val="20"/>
        </w:rPr>
        <w:t xml:space="preserve"> </w:t>
      </w:r>
      <w:proofErr w:type="spellStart"/>
      <w:r>
        <w:rPr>
          <w:rFonts w:ascii="Arial" w:hAnsi="Arial" w:cs="Arial"/>
          <w:i/>
          <w:iCs/>
          <w:color w:val="737373" w:themeColor="accent3" w:themeShade="80"/>
          <w:sz w:val="20"/>
          <w:szCs w:val="20"/>
        </w:rPr>
        <w:t>veiktā</w:t>
      </w:r>
      <w:proofErr w:type="spellEnd"/>
      <w:r>
        <w:rPr>
          <w:rFonts w:ascii="Arial" w:hAnsi="Arial" w:cs="Arial"/>
          <w:i/>
          <w:iCs/>
          <w:color w:val="737373" w:themeColor="accent3" w:themeShade="80"/>
          <w:sz w:val="20"/>
          <w:szCs w:val="20"/>
        </w:rPr>
        <w:t xml:space="preserve"> </w:t>
      </w:r>
      <w:proofErr w:type="spellStart"/>
      <w:r>
        <w:rPr>
          <w:rFonts w:ascii="Arial" w:hAnsi="Arial" w:cs="Arial"/>
          <w:i/>
          <w:iCs/>
          <w:color w:val="737373" w:themeColor="accent3" w:themeShade="80"/>
          <w:sz w:val="20"/>
          <w:szCs w:val="20"/>
        </w:rPr>
        <w:t>jaunsargu</w:t>
      </w:r>
      <w:proofErr w:type="spellEnd"/>
      <w:r>
        <w:rPr>
          <w:rFonts w:ascii="Arial" w:hAnsi="Arial" w:cs="Arial"/>
          <w:i/>
          <w:iCs/>
          <w:color w:val="737373" w:themeColor="accent3" w:themeShade="80"/>
          <w:sz w:val="20"/>
          <w:szCs w:val="20"/>
        </w:rPr>
        <w:t xml:space="preserve"> </w:t>
      </w:r>
      <w:proofErr w:type="spellStart"/>
      <w:r>
        <w:rPr>
          <w:rFonts w:ascii="Arial" w:hAnsi="Arial" w:cs="Arial"/>
          <w:i/>
          <w:iCs/>
          <w:color w:val="737373" w:themeColor="accent3" w:themeShade="80"/>
          <w:sz w:val="20"/>
          <w:szCs w:val="20"/>
        </w:rPr>
        <w:t>aptauja</w:t>
      </w:r>
      <w:proofErr w:type="spellEnd"/>
      <w:r>
        <w:rPr>
          <w:rFonts w:ascii="Arial" w:hAnsi="Arial" w:cs="Arial"/>
          <w:i/>
          <w:iCs/>
          <w:color w:val="737373" w:themeColor="accent3" w:themeShade="80"/>
          <w:sz w:val="20"/>
          <w:szCs w:val="20"/>
        </w:rPr>
        <w:t>, N=644</w:t>
      </w:r>
    </w:p>
    <w:p w14:paraId="35039CCF" w14:textId="224348DB" w:rsidR="00DF2DB8" w:rsidRPr="00DF2DB8" w:rsidRDefault="00246CA7" w:rsidP="00923B45">
      <w:pPr>
        <w:ind w:left="851"/>
        <w:rPr>
          <w:lang w:val="lv-LV"/>
        </w:rPr>
      </w:pPr>
      <w:r w:rsidRPr="003B71CB">
        <w:rPr>
          <w:noProof/>
          <w:lang w:val="lv-LV"/>
        </w:rPr>
        <mc:AlternateContent>
          <mc:Choice Requires="wps">
            <w:drawing>
              <wp:anchor distT="0" distB="0" distL="114300" distR="114300" simplePos="0" relativeHeight="251658249" behindDoc="0" locked="0" layoutInCell="1" allowOverlap="1" wp14:anchorId="5B3AD62C" wp14:editId="5595026B">
                <wp:simplePos x="0" y="0"/>
                <wp:positionH relativeFrom="margin">
                  <wp:align>left</wp:align>
                </wp:positionH>
                <wp:positionV relativeFrom="paragraph">
                  <wp:posOffset>42786</wp:posOffset>
                </wp:positionV>
                <wp:extent cx="359410" cy="3672000"/>
                <wp:effectExtent l="0" t="0" r="2540" b="5080"/>
                <wp:wrapThrough wrapText="bothSides">
                  <wp:wrapPolygon edited="0">
                    <wp:start x="0" y="0"/>
                    <wp:lineTo x="0" y="21518"/>
                    <wp:lineTo x="20608" y="21518"/>
                    <wp:lineTo x="20608" y="0"/>
                    <wp:lineTo x="0" y="0"/>
                  </wp:wrapPolygon>
                </wp:wrapThrough>
                <wp:docPr id="131767485" name="Rectangle 2"/>
                <wp:cNvGraphicFramePr/>
                <a:graphic xmlns:a="http://schemas.openxmlformats.org/drawingml/2006/main">
                  <a:graphicData uri="http://schemas.microsoft.com/office/word/2010/wordprocessingShape">
                    <wps:wsp>
                      <wps:cNvSpPr/>
                      <wps:spPr>
                        <a:xfrm>
                          <a:off x="0" y="0"/>
                          <a:ext cx="359410" cy="3672000"/>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xmlns:c="http://schemas.openxmlformats.org/drawingml/2006/chart">
            <w:pict>
              <v:rect id="Rectangle 2" style="position:absolute;margin-left:0;margin-top:3.35pt;width:28.3pt;height:289.15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f3b8ff [665]" stroked="f" strokeweight="1pt" w14:anchorId="504AA9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">
                <w10:wrap type="through" anchorx="margin"/>
              </v:rect>
            </w:pict>
          </mc:Fallback>
        </mc:AlternateContent>
      </w:r>
      <w:r w:rsidR="00DF2DB8" w:rsidRPr="00DF2DB8">
        <w:rPr>
          <w:lang w:val="lv-LV"/>
        </w:rPr>
        <w:t xml:space="preserve">Metodiski programma balstās uz </w:t>
      </w:r>
      <w:r w:rsidR="00923B45">
        <w:rPr>
          <w:lang w:val="lv-LV"/>
        </w:rPr>
        <w:t xml:space="preserve">jaunsargu </w:t>
      </w:r>
      <w:r w:rsidR="00DF2DB8" w:rsidRPr="00DF2DB8">
        <w:rPr>
          <w:lang w:val="lv-LV"/>
        </w:rPr>
        <w:t>instruktora profesionālo kompetenci un spēju pielāgot mācību metodes</w:t>
      </w:r>
      <w:r w:rsidR="00F81D26">
        <w:rPr>
          <w:lang w:val="lv-LV"/>
        </w:rPr>
        <w:t xml:space="preserve"> </w:t>
      </w:r>
      <w:r w:rsidR="00245955">
        <w:rPr>
          <w:lang w:val="lv-LV"/>
        </w:rPr>
        <w:t>konkrētās grupas vajadzībām</w:t>
      </w:r>
      <w:r w:rsidR="00DF2DB8" w:rsidRPr="00DF2DB8">
        <w:rPr>
          <w:lang w:val="lv-LV"/>
        </w:rPr>
        <w:t>. Lai gan šī elastība ir priekšrocība, tā vienlaikus rada risku nevienmērīgai kvalitātei</w:t>
      </w:r>
      <w:r w:rsidR="00245955">
        <w:rPr>
          <w:lang w:val="lv-LV"/>
        </w:rPr>
        <w:t xml:space="preserve"> starp vienībām</w:t>
      </w:r>
      <w:r w:rsidR="00DF2DB8" w:rsidRPr="00DF2DB8">
        <w:rPr>
          <w:lang w:val="lv-LV"/>
        </w:rPr>
        <w:t xml:space="preserve">. </w:t>
      </w:r>
      <w:r w:rsidR="00245955">
        <w:rPr>
          <w:lang w:val="lv-LV"/>
        </w:rPr>
        <w:t>Atsevišķos</w:t>
      </w:r>
      <w:r w:rsidR="00245955" w:rsidRPr="00DF2DB8">
        <w:rPr>
          <w:lang w:val="lv-LV"/>
        </w:rPr>
        <w:t xml:space="preserve"> </w:t>
      </w:r>
      <w:r w:rsidR="00DF2DB8" w:rsidRPr="00DF2DB8">
        <w:rPr>
          <w:lang w:val="lv-LV"/>
        </w:rPr>
        <w:t>gadījumos dominē pasīvas mācību metodes</w:t>
      </w:r>
      <w:r w:rsidR="009B7601">
        <w:rPr>
          <w:lang w:val="lv-LV"/>
        </w:rPr>
        <w:t xml:space="preserve">, </w:t>
      </w:r>
      <w:r w:rsidR="00DF2DB8" w:rsidRPr="00DF2DB8">
        <w:rPr>
          <w:lang w:val="lv-LV"/>
        </w:rPr>
        <w:t xml:space="preserve">piemēram, stāstīšana, kas samazina mācīšanās efektivitāti. </w:t>
      </w:r>
      <w:r w:rsidR="009B7601">
        <w:rPr>
          <w:lang w:val="lv-LV"/>
        </w:rPr>
        <w:t>Tādēļ b</w:t>
      </w:r>
      <w:r w:rsidR="00DF2DB8" w:rsidRPr="00DF2DB8">
        <w:rPr>
          <w:lang w:val="lv-LV"/>
        </w:rPr>
        <w:t>ūtisks attīstības virziens ir aktīvu mācību metožu plašāka ieviešana un metodiskā atbalsta stiprināšana, lai nodrošinātu vienotu kvalitātes līmeni</w:t>
      </w:r>
      <w:r w:rsidR="00E63D07">
        <w:rPr>
          <w:lang w:val="lv-LV"/>
        </w:rPr>
        <w:t xml:space="preserve"> visā valstī</w:t>
      </w:r>
      <w:r w:rsidR="00DF2DB8" w:rsidRPr="00DF2DB8">
        <w:rPr>
          <w:lang w:val="lv-LV"/>
        </w:rPr>
        <w:t>.</w:t>
      </w:r>
    </w:p>
    <w:p w14:paraId="2B30CF46" w14:textId="122EA381" w:rsidR="00DF2DB8" w:rsidRPr="00DF2DB8" w:rsidRDefault="00DF2DB8" w:rsidP="00923B45">
      <w:pPr>
        <w:ind w:left="851"/>
        <w:rPr>
          <w:lang w:val="lv-LV"/>
        </w:rPr>
      </w:pPr>
      <w:r w:rsidRPr="00DF2DB8">
        <w:rPr>
          <w:lang w:val="lv-LV"/>
        </w:rPr>
        <w:t xml:space="preserve">Vidusskolas posma īstenošana </w:t>
      </w:r>
      <w:r w:rsidR="00A349F6">
        <w:rPr>
          <w:lang w:val="lv-LV"/>
        </w:rPr>
        <w:t>ir</w:t>
      </w:r>
      <w:r w:rsidRPr="00DF2DB8">
        <w:rPr>
          <w:lang w:val="lv-LV"/>
        </w:rPr>
        <w:t xml:space="preserve"> būtiska un nepieciešama programmas sastāvdaļa. </w:t>
      </w:r>
      <w:r w:rsidR="00A349F6">
        <w:rPr>
          <w:lang w:val="lv-LV"/>
        </w:rPr>
        <w:t>Š</w:t>
      </w:r>
      <w:r w:rsidRPr="00DF2DB8">
        <w:rPr>
          <w:lang w:val="lv-LV"/>
        </w:rPr>
        <w:t xml:space="preserve">ajā vecumā jaunieši pieņem apzinātus lēmumus par nākotnes karjeru, un Jaunsardze var būt nozīmīgs profesionālās orientācijas </w:t>
      </w:r>
      <w:r w:rsidR="00C854A6">
        <w:rPr>
          <w:lang w:val="lv-LV"/>
        </w:rPr>
        <w:t xml:space="preserve">faktors, </w:t>
      </w:r>
      <w:r w:rsidRPr="00DF2DB8">
        <w:rPr>
          <w:lang w:val="lv-LV"/>
        </w:rPr>
        <w:t>tostarp intereses veicināšanā par dienestu Nacionālajos bruņotajos spēkos vai Zemessardzē. Vienlaikus vidusskolas posms darbojas kā pārejas posms, kas ļauj jauniešiem praktiski izvērtēt savu interesi par aizsardzības jomu</w:t>
      </w:r>
      <w:r w:rsidR="007F2F37">
        <w:rPr>
          <w:lang w:val="lv-LV"/>
        </w:rPr>
        <w:t xml:space="preserve"> pirms turpmākās karjeras izvēles</w:t>
      </w:r>
      <w:r w:rsidRPr="00DF2DB8">
        <w:rPr>
          <w:lang w:val="lv-LV"/>
        </w:rPr>
        <w:t xml:space="preserve">. </w:t>
      </w:r>
      <w:r w:rsidR="007F2F37">
        <w:rPr>
          <w:lang w:val="lv-LV"/>
        </w:rPr>
        <w:t>I</w:t>
      </w:r>
      <w:r w:rsidRPr="00DF2DB8">
        <w:rPr>
          <w:lang w:val="lv-LV"/>
        </w:rPr>
        <w:t xml:space="preserve">zaicinājumu rada skolēnu </w:t>
      </w:r>
      <w:r w:rsidR="007F2F37">
        <w:rPr>
          <w:lang w:val="lv-LV"/>
        </w:rPr>
        <w:t xml:space="preserve">kopējā </w:t>
      </w:r>
      <w:r w:rsidRPr="00DF2DB8">
        <w:rPr>
          <w:lang w:val="lv-LV"/>
        </w:rPr>
        <w:t>mācību slodze un nevienmērīgā iesaiste, kas prasa elastīgāku programmas organizāciju</w:t>
      </w:r>
      <w:r w:rsidR="001B0595">
        <w:rPr>
          <w:lang w:val="lv-LV"/>
        </w:rPr>
        <w:t xml:space="preserve"> vidusskolas posmā</w:t>
      </w:r>
      <w:r w:rsidRPr="00DF2DB8">
        <w:rPr>
          <w:lang w:val="lv-LV"/>
        </w:rPr>
        <w:t>.</w:t>
      </w:r>
    </w:p>
    <w:p w14:paraId="01B8DCBE" w14:textId="10F82DB9" w:rsidR="00233800" w:rsidRPr="00DF2DB8" w:rsidRDefault="00233800" w:rsidP="00923B45">
      <w:pPr>
        <w:ind w:left="851"/>
        <w:rPr>
          <w:lang w:val="lv-LV"/>
        </w:rPr>
      </w:pPr>
      <w:r w:rsidRPr="00DF2DB8">
        <w:rPr>
          <w:lang w:val="lv-LV"/>
        </w:rPr>
        <w:t>Stundu apjoms un nodarbību formāts</w:t>
      </w:r>
      <w:r>
        <w:rPr>
          <w:lang w:val="lv-LV"/>
        </w:rPr>
        <w:t xml:space="preserve"> – </w:t>
      </w:r>
      <w:r w:rsidRPr="00DF2DB8">
        <w:rPr>
          <w:lang w:val="lv-LV"/>
        </w:rPr>
        <w:t>divas 45 minūšu nodarbības nedēļā, papildinātas ar nometnēm</w:t>
      </w:r>
      <w:r>
        <w:rPr>
          <w:lang w:val="lv-LV"/>
        </w:rPr>
        <w:t xml:space="preserve"> un pasākumiem,</w:t>
      </w:r>
      <w:r w:rsidRPr="00DF2DB8">
        <w:rPr>
          <w:lang w:val="lv-LV"/>
        </w:rPr>
        <w:t xml:space="preserve"> tiek vērtēts kā pietiekams un optimāls</w:t>
      </w:r>
      <w:r w:rsidR="00EC57F3">
        <w:rPr>
          <w:lang w:val="lv-LV"/>
        </w:rPr>
        <w:t xml:space="preserve"> interešu izglītības kontekstā</w:t>
      </w:r>
      <w:r w:rsidRPr="00DF2DB8">
        <w:rPr>
          <w:lang w:val="lv-LV"/>
        </w:rPr>
        <w:t xml:space="preserve">. Tas nodrošina līdzsvaru starp iesaisti un jauniešu ikdienas slodzi, vienlaikus veicinot regulāru kontaktu ar jaunsargu instruktoru, kas ir būtisks faktors attieksmju un ieradumu </w:t>
      </w:r>
      <w:r w:rsidR="00250D03">
        <w:rPr>
          <w:lang w:val="lv-LV"/>
        </w:rPr>
        <w:t xml:space="preserve">ilgtermiņa </w:t>
      </w:r>
      <w:r w:rsidRPr="00DF2DB8">
        <w:rPr>
          <w:lang w:val="lv-LV"/>
        </w:rPr>
        <w:t xml:space="preserve">veidošanā. Nometnes un praktiskās aktivitātes tiek atzītas par īpaši nozīmīgu programmas sastāvdaļu, jo tās nodrošina teorētisko zināšanu praktisku pielietojumu un stiprina </w:t>
      </w:r>
      <w:r w:rsidR="00E96FD9">
        <w:rPr>
          <w:lang w:val="lv-LV"/>
        </w:rPr>
        <w:t xml:space="preserve">gan </w:t>
      </w:r>
      <w:r w:rsidRPr="00DF2DB8">
        <w:rPr>
          <w:lang w:val="lv-LV"/>
        </w:rPr>
        <w:t>sadarbības</w:t>
      </w:r>
      <w:r w:rsidR="00E96FD9">
        <w:rPr>
          <w:lang w:val="lv-LV"/>
        </w:rPr>
        <w:t>, gan</w:t>
      </w:r>
      <w:r w:rsidRPr="00DF2DB8">
        <w:rPr>
          <w:lang w:val="lv-LV"/>
        </w:rPr>
        <w:t xml:space="preserve"> krīzes situāciju pārvarēšanas prasmes.</w:t>
      </w:r>
    </w:p>
    <w:p w14:paraId="441092D0" w14:textId="06F08213" w:rsidR="00DF2DB8" w:rsidRDefault="0084704D" w:rsidP="00A63803">
      <w:pPr>
        <w:pStyle w:val="Heading2"/>
        <w:rPr>
          <w:lang w:val="lv-LV"/>
        </w:rPr>
      </w:pPr>
      <w:r>
        <w:rPr>
          <w:noProof/>
          <w:lang w:val="lv-LV"/>
        </w:rPr>
        <w:drawing>
          <wp:anchor distT="0" distB="0" distL="114300" distR="114300" simplePos="0" relativeHeight="251658258" behindDoc="0" locked="0" layoutInCell="1" allowOverlap="1" wp14:anchorId="4698D708" wp14:editId="30939882">
            <wp:simplePos x="0" y="0"/>
            <wp:positionH relativeFrom="column">
              <wp:posOffset>2540</wp:posOffset>
            </wp:positionH>
            <wp:positionV relativeFrom="paragraph">
              <wp:posOffset>12537</wp:posOffset>
            </wp:positionV>
            <wp:extent cx="540000" cy="540000"/>
            <wp:effectExtent l="0" t="0" r="0" b="0"/>
            <wp:wrapSquare wrapText="bothSides"/>
            <wp:docPr id="277958153" name="Graphic 17" descr="Boardroo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958153" name="Graphic 277958153" descr="Boardroom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540000" cy="540000"/>
                    </a:xfrm>
                    <a:prstGeom prst="rect">
                      <a:avLst/>
                    </a:prstGeom>
                  </pic:spPr>
                </pic:pic>
              </a:graphicData>
            </a:graphic>
          </wp:anchor>
        </w:drawing>
      </w:r>
      <w:r w:rsidR="00A63803">
        <w:rPr>
          <w:lang w:val="lv-LV"/>
        </w:rPr>
        <w:t>P</w:t>
      </w:r>
      <w:r w:rsidR="00A63803" w:rsidRPr="00A63803">
        <w:rPr>
          <w:lang w:val="lv-LV"/>
        </w:rPr>
        <w:t>artneru iesaiste valsts aizsardzības mācības un jaunsargu interešu izglītības programmās</w:t>
      </w:r>
    </w:p>
    <w:p w14:paraId="65578D2B" w14:textId="552AD579" w:rsidR="00706169" w:rsidRPr="00706169" w:rsidRDefault="00706169" w:rsidP="00706169">
      <w:pPr>
        <w:rPr>
          <w:lang w:val="lv-LV"/>
        </w:rPr>
      </w:pPr>
      <w:r w:rsidRPr="00706169">
        <w:rPr>
          <w:lang w:val="lv-LV"/>
        </w:rPr>
        <w:t xml:space="preserve">Jaunsardzes centrs </w:t>
      </w:r>
      <w:r w:rsidR="00221E7F">
        <w:rPr>
          <w:lang w:val="lv-LV"/>
        </w:rPr>
        <w:t xml:space="preserve">īstenot </w:t>
      </w:r>
      <w:r w:rsidRPr="00706169">
        <w:rPr>
          <w:lang w:val="lv-LV"/>
        </w:rPr>
        <w:t>sadarbību ar biedrībām, nodibinājumiem un jaunatnes organizācijām, taču tā galvenokārt ir fragmentēta un vairāk saistīta ar Jaunsardzes kustības aktivitātēm, nevis ar VAM. Biežākie sadarbības partneri ir Nacionālie bruņotie spēki</w:t>
      </w:r>
      <w:r w:rsidR="00221E7F">
        <w:rPr>
          <w:lang w:val="lv-LV"/>
        </w:rPr>
        <w:t xml:space="preserve">, </w:t>
      </w:r>
      <w:r w:rsidRPr="00706169">
        <w:rPr>
          <w:lang w:val="lv-LV"/>
        </w:rPr>
        <w:t xml:space="preserve">Zemessardze un muzeji, savukārt NVO iesaiste </w:t>
      </w:r>
      <w:r w:rsidR="00AF4A89">
        <w:rPr>
          <w:lang w:val="lv-LV"/>
        </w:rPr>
        <w:t>ir mazāka</w:t>
      </w:r>
      <w:r w:rsidRPr="00706169">
        <w:rPr>
          <w:lang w:val="lv-LV"/>
        </w:rPr>
        <w:t>.</w:t>
      </w:r>
    </w:p>
    <w:p w14:paraId="0998ABAD" w14:textId="4F5C9C29" w:rsidR="00706169" w:rsidRPr="00706169" w:rsidRDefault="0062270C" w:rsidP="0062270C">
      <w:pPr>
        <w:ind w:left="851"/>
        <w:rPr>
          <w:lang w:val="lv-LV"/>
        </w:rPr>
      </w:pPr>
      <w:r w:rsidRPr="003B71CB">
        <w:rPr>
          <w:noProof/>
          <w:lang w:val="lv-LV"/>
        </w:rPr>
        <w:lastRenderedPageBreak/>
        <mc:AlternateContent>
          <mc:Choice Requires="wps">
            <w:drawing>
              <wp:anchor distT="0" distB="0" distL="114300" distR="114300" simplePos="0" relativeHeight="251658248" behindDoc="0" locked="0" layoutInCell="1" allowOverlap="1" wp14:anchorId="54B02024" wp14:editId="471B1542">
                <wp:simplePos x="0" y="0"/>
                <wp:positionH relativeFrom="margin">
                  <wp:posOffset>45085</wp:posOffset>
                </wp:positionH>
                <wp:positionV relativeFrom="paragraph">
                  <wp:posOffset>52070</wp:posOffset>
                </wp:positionV>
                <wp:extent cx="359410" cy="3518535"/>
                <wp:effectExtent l="0" t="0" r="0" b="0"/>
                <wp:wrapThrough wrapText="bothSides">
                  <wp:wrapPolygon edited="0">
                    <wp:start x="0" y="0"/>
                    <wp:lineTo x="0" y="21518"/>
                    <wp:lineTo x="20608" y="21518"/>
                    <wp:lineTo x="20608" y="0"/>
                    <wp:lineTo x="0" y="0"/>
                  </wp:wrapPolygon>
                </wp:wrapThrough>
                <wp:docPr id="908771878" name="Rectangle 2"/>
                <wp:cNvGraphicFramePr/>
                <a:graphic xmlns:a="http://schemas.openxmlformats.org/drawingml/2006/main">
                  <a:graphicData uri="http://schemas.microsoft.com/office/word/2010/wordprocessingShape">
                    <wps:wsp>
                      <wps:cNvSpPr/>
                      <wps:spPr>
                        <a:xfrm>
                          <a:off x="0" y="0"/>
                          <a:ext cx="359410" cy="3518535"/>
                        </a:xfrm>
                        <a:prstGeom prst="rect">
                          <a:avLst/>
                        </a:prstGeom>
                        <a:solidFill>
                          <a:schemeClr val="accent6">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xmlns:c="http://schemas.openxmlformats.org/drawingml/2006/chart">
            <w:pict>
              <v:rect id="Rectangle 2" style="position:absolute;margin-left:3.55pt;margin-top:4.1pt;width:28.3pt;height:277.0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3b8ff [665]" stroked="f" strokeweight="1pt" w14:anchorId="79587F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">
                <w10:wrap type="through" anchorx="margin"/>
              </v:rect>
            </w:pict>
          </mc:Fallback>
        </mc:AlternateContent>
      </w:r>
      <w:r w:rsidR="00706169" w:rsidRPr="00706169">
        <w:rPr>
          <w:lang w:val="lv-LV"/>
        </w:rPr>
        <w:t>Sadarbība ar NVO veidojas trīs galvenajos virzienos. Pirmkārt, jaunsargu iesaiste sabiedriski nozīmīgos pasākumos un pilsoniskajās aktivitātēs</w:t>
      </w:r>
      <w:r w:rsidR="003F0C1E">
        <w:rPr>
          <w:lang w:val="lv-LV"/>
        </w:rPr>
        <w:t xml:space="preserve">, </w:t>
      </w:r>
      <w:r w:rsidR="00706169" w:rsidRPr="00706169">
        <w:rPr>
          <w:lang w:val="lv-LV"/>
        </w:rPr>
        <w:t>piemēram, Barikāžu atceres pasākum</w:t>
      </w:r>
      <w:r w:rsidR="00C14480">
        <w:rPr>
          <w:lang w:val="lv-LV"/>
        </w:rPr>
        <w:t>os</w:t>
      </w:r>
      <w:r w:rsidR="00706169" w:rsidRPr="00706169">
        <w:rPr>
          <w:lang w:val="lv-LV"/>
        </w:rPr>
        <w:t>, talk</w:t>
      </w:r>
      <w:r w:rsidR="00C14480">
        <w:rPr>
          <w:lang w:val="lv-LV"/>
        </w:rPr>
        <w:t>ā</w:t>
      </w:r>
      <w:r w:rsidR="00706169" w:rsidRPr="00706169">
        <w:rPr>
          <w:lang w:val="lv-LV"/>
        </w:rPr>
        <w:t>s</w:t>
      </w:r>
      <w:r w:rsidR="00C14480">
        <w:rPr>
          <w:lang w:val="lv-LV"/>
        </w:rPr>
        <w:t xml:space="preserve"> un pirmās palīdzības apmācībās </w:t>
      </w:r>
      <w:r w:rsidR="00706169" w:rsidRPr="00706169">
        <w:rPr>
          <w:lang w:val="lv-LV"/>
        </w:rPr>
        <w:t>sadarbīb</w:t>
      </w:r>
      <w:r w:rsidR="00C14480">
        <w:rPr>
          <w:lang w:val="lv-LV"/>
        </w:rPr>
        <w:t>ā</w:t>
      </w:r>
      <w:r w:rsidR="00706169" w:rsidRPr="00706169">
        <w:rPr>
          <w:lang w:val="lv-LV"/>
        </w:rPr>
        <w:t xml:space="preserve"> ar Latvijas Sarkano Krustu. Otrkārt, Jaunsardzes popularizēšana un dalība sporta un jaunatnes organizāciju pasākumos</w:t>
      </w:r>
      <w:r w:rsidR="009E17CF">
        <w:rPr>
          <w:lang w:val="lv-LV"/>
        </w:rPr>
        <w:t>, tostarp</w:t>
      </w:r>
      <w:r w:rsidR="00706169" w:rsidRPr="00706169">
        <w:rPr>
          <w:lang w:val="lv-LV"/>
        </w:rPr>
        <w:t xml:space="preserve"> orientēšanās un biatlona sacensīb</w:t>
      </w:r>
      <w:r w:rsidR="009E17CF">
        <w:rPr>
          <w:lang w:val="lv-LV"/>
        </w:rPr>
        <w:t>ās</w:t>
      </w:r>
      <w:r w:rsidR="00706169" w:rsidRPr="00706169">
        <w:rPr>
          <w:lang w:val="lv-LV"/>
        </w:rPr>
        <w:t>. Treškārt, jaunsargu instruktoru kvalifikācijas celšana, kur NVO sniedz apmācības sporta tūrismā, digitālajā drošībā un citās specifiskās jomās.</w:t>
      </w:r>
    </w:p>
    <w:p w14:paraId="40FEC1A5" w14:textId="7D80C042" w:rsidR="00706169" w:rsidRPr="00706169" w:rsidRDefault="00706169" w:rsidP="00AF4A89">
      <w:pPr>
        <w:ind w:left="851"/>
        <w:rPr>
          <w:lang w:val="lv-LV"/>
        </w:rPr>
      </w:pPr>
      <w:r w:rsidRPr="00706169">
        <w:rPr>
          <w:lang w:val="lv-LV"/>
        </w:rPr>
        <w:t>NVO tiek piesaistītas galvenokārt kā kompetenču un resursu papildinātāji</w:t>
      </w:r>
      <w:r w:rsidR="009D358C">
        <w:rPr>
          <w:lang w:val="lv-LV"/>
        </w:rPr>
        <w:t xml:space="preserve"> konkrētās tematiskajās jomās</w:t>
      </w:r>
      <w:r w:rsidRPr="00706169">
        <w:rPr>
          <w:lang w:val="lv-LV"/>
        </w:rPr>
        <w:t>, nevis kā regulāri VAM īstenošanas partneri. To iesaiste ir mērķēta</w:t>
      </w:r>
      <w:r w:rsidR="00916B76">
        <w:rPr>
          <w:lang w:val="lv-LV"/>
        </w:rPr>
        <w:t xml:space="preserve"> </w:t>
      </w:r>
      <w:r w:rsidRPr="00706169">
        <w:rPr>
          <w:lang w:val="lv-LV"/>
        </w:rPr>
        <w:t>– tur, kur nepieciešamas specifiskas zināšanas vai praktiskā pieredze</w:t>
      </w:r>
      <w:r w:rsidR="00916B76">
        <w:rPr>
          <w:lang w:val="lv-LV"/>
        </w:rPr>
        <w:t>, ko Jaunsardzes centrs pats pilnvērtīgi nespēj nodrošināt</w:t>
      </w:r>
      <w:r w:rsidRPr="00706169">
        <w:rPr>
          <w:lang w:val="lv-LV"/>
        </w:rPr>
        <w:t>.</w:t>
      </w:r>
    </w:p>
    <w:p w14:paraId="298CDEA7" w14:textId="642225E6" w:rsidR="00706169" w:rsidRPr="00706169" w:rsidRDefault="00AF4A89" w:rsidP="00AF4A89">
      <w:pPr>
        <w:ind w:left="851"/>
        <w:rPr>
          <w:lang w:val="lv-LV"/>
        </w:rPr>
      </w:pPr>
      <w:r>
        <w:rPr>
          <w:lang w:val="lv-LV"/>
        </w:rPr>
        <w:t>Vienlaikus</w:t>
      </w:r>
      <w:r w:rsidR="00706169" w:rsidRPr="00706169">
        <w:rPr>
          <w:lang w:val="lv-LV"/>
        </w:rPr>
        <w:t xml:space="preserve"> sadarbība</w:t>
      </w:r>
      <w:r>
        <w:rPr>
          <w:lang w:val="lv-LV"/>
        </w:rPr>
        <w:t>i ir</w:t>
      </w:r>
      <w:r w:rsidR="00706169" w:rsidRPr="00706169">
        <w:rPr>
          <w:lang w:val="lv-LV"/>
        </w:rPr>
        <w:t xml:space="preserve"> attīstības potenciāl</w:t>
      </w:r>
      <w:r>
        <w:rPr>
          <w:lang w:val="lv-LV"/>
        </w:rPr>
        <w:t>s</w:t>
      </w:r>
      <w:r w:rsidR="00706169" w:rsidRPr="00706169">
        <w:rPr>
          <w:lang w:val="lv-LV"/>
        </w:rPr>
        <w:t>. Gan J</w:t>
      </w:r>
      <w:r>
        <w:rPr>
          <w:lang w:val="lv-LV"/>
        </w:rPr>
        <w:t>aunsardzes centrs</w:t>
      </w:r>
      <w:r w:rsidR="00706169" w:rsidRPr="00706169">
        <w:rPr>
          <w:lang w:val="lv-LV"/>
        </w:rPr>
        <w:t>, gan NVO pārstāvji atzīst, ka sadarbību varētu paplašināt, īpaši iesaistot NVO tiešā darbā ar jauniešiem (piemēram, nometnēs vai izglītojošās aktivitātēs), nevis tikai caur instruktoru apmācībām. Tas ļautu efektīvāk nodot specifiskas zināšanas, piemēram, par digitālo drošību vai pilsonisko līdzdalību</w:t>
      </w:r>
      <w:r w:rsidR="00DC6B24">
        <w:rPr>
          <w:lang w:val="lv-LV"/>
        </w:rPr>
        <w:t>, tieši mērķgrupai</w:t>
      </w:r>
      <w:r w:rsidR="00706169" w:rsidRPr="00706169">
        <w:rPr>
          <w:lang w:val="lv-LV"/>
        </w:rPr>
        <w:t>.</w:t>
      </w:r>
    </w:p>
    <w:p w14:paraId="58A2FAE6" w14:textId="46D5D7EC" w:rsidR="00706169" w:rsidRPr="00706169" w:rsidRDefault="00AF4A89" w:rsidP="00AF4A89">
      <w:pPr>
        <w:ind w:left="851"/>
        <w:rPr>
          <w:lang w:val="lv-LV"/>
        </w:rPr>
      </w:pPr>
      <w:r>
        <w:rPr>
          <w:lang w:val="lv-LV"/>
        </w:rPr>
        <w:t>N</w:t>
      </w:r>
      <w:r w:rsidR="00706169" w:rsidRPr="00706169">
        <w:rPr>
          <w:lang w:val="lv-LV"/>
        </w:rPr>
        <w:t xml:space="preserve">ozīmīga bijusi sadarbība ar biedrību “Latvijas Pilsoniskā alianse” VAM satura un metodikas izstrādē pilsoniskās līdzdalības jomā, taču šobrīd tā netiek aktīvi turpināta. </w:t>
      </w:r>
      <w:r w:rsidR="002C10A7">
        <w:rPr>
          <w:lang w:val="lv-LV"/>
        </w:rPr>
        <w:t>Analīze</w:t>
      </w:r>
      <w:r w:rsidR="002C10A7" w:rsidRPr="00706169">
        <w:rPr>
          <w:lang w:val="lv-LV"/>
        </w:rPr>
        <w:t xml:space="preserve"> </w:t>
      </w:r>
      <w:r w:rsidR="002C10A7">
        <w:rPr>
          <w:lang w:val="lv-LV"/>
        </w:rPr>
        <w:t>atklāj</w:t>
      </w:r>
      <w:r w:rsidR="00706169" w:rsidRPr="00706169">
        <w:rPr>
          <w:lang w:val="lv-LV"/>
        </w:rPr>
        <w:t xml:space="preserve"> nepieciešamība šo sadarbību atjaunot, lai stiprinātu VAM saturisko kvalitāti un pilsoniskās izglītības dimensiju</w:t>
      </w:r>
      <w:r w:rsidR="00612BC5">
        <w:rPr>
          <w:lang w:val="lv-LV"/>
        </w:rPr>
        <w:t xml:space="preserve"> programmā</w:t>
      </w:r>
      <w:r w:rsidR="00706169" w:rsidRPr="00706169">
        <w:rPr>
          <w:lang w:val="lv-LV"/>
        </w:rPr>
        <w:t>.</w:t>
      </w:r>
    </w:p>
    <w:sectPr w:rsidR="00706169" w:rsidRPr="00706169" w:rsidSect="00E02C70">
      <w:headerReference w:type="default" r:id="rId29"/>
      <w:headerReference w:type="first" r:id="rId30"/>
      <w:footerReference w:type="first" r:id="rId31"/>
      <w:pgSz w:w="11906" w:h="16838"/>
      <w:pgMar w:top="1474" w:right="822" w:bottom="1474" w:left="82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F02E47" w14:textId="77777777" w:rsidR="00F81261" w:rsidRPr="00A90D51" w:rsidRDefault="00F81261" w:rsidP="00BA2BE6">
      <w:pPr>
        <w:spacing w:before="0" w:after="0" w:line="240" w:lineRule="auto"/>
      </w:pPr>
      <w:r w:rsidRPr="00A90D51">
        <w:separator/>
      </w:r>
    </w:p>
  </w:endnote>
  <w:endnote w:type="continuationSeparator" w:id="0">
    <w:p w14:paraId="7DAB12A5" w14:textId="77777777" w:rsidR="00F81261" w:rsidRPr="00A90D51" w:rsidRDefault="00F81261" w:rsidP="00BA2BE6">
      <w:pPr>
        <w:spacing w:before="0" w:after="0" w:line="240" w:lineRule="auto"/>
      </w:pPr>
      <w:r w:rsidRPr="00A90D5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Black">
    <w:panose1 w:val="020B0A04020102020204"/>
    <w:charset w:val="BA"/>
    <w:family w:val="swiss"/>
    <w:pitch w:val="variable"/>
    <w:sig w:usb0="A00002AF" w:usb1="400078FB" w:usb2="00000000" w:usb3="00000000" w:csb0="0000009F" w:csb1="00000000"/>
    <w:embedRegular r:id="rId1" w:fontKey="{1C2DDE9A-1CA9-400F-8C19-14F01E02E344}"/>
  </w:font>
  <w:font w:name="Times New Roman">
    <w:panose1 w:val="02020603050405020304"/>
    <w:charset w:val="00"/>
    <w:family w:val="roman"/>
    <w:pitch w:val="variable"/>
    <w:sig w:usb0="E0002EFF" w:usb1="C000785B" w:usb2="00000009" w:usb3="00000000" w:csb0="000001FF" w:csb1="00000000"/>
  </w:font>
  <w:font w:name="Montserrat Black">
    <w:charset w:val="4D"/>
    <w:family w:val="auto"/>
    <w:pitch w:val="variable"/>
    <w:sig w:usb0="2000020F" w:usb1="00000003" w:usb2="00000000" w:usb3="00000000" w:csb0="00000197" w:csb1="00000000"/>
  </w:font>
  <w:font w:name="Wingdings 2">
    <w:panose1 w:val="05020102010507070707"/>
    <w:charset w:val="02"/>
    <w:family w:val="roman"/>
    <w:pitch w:val="variable"/>
    <w:sig w:usb0="00000000" w:usb1="10000000" w:usb2="00000000" w:usb3="00000000" w:csb0="80000000" w:csb1="00000000"/>
    <w:embedRegular r:id="rId2" w:fontKey="{760CECFB-E9D7-4655-8D7B-E21400488FAE}"/>
  </w:font>
  <w:font w:name="Noto Sans Symbols">
    <w:altName w:val="Calibri"/>
    <w:charset w:val="00"/>
    <w:family w:val="auto"/>
    <w:pitch w:val="variable"/>
    <w:sig w:usb0="00000003" w:usb1="0200E4B4"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Calibri">
    <w:panose1 w:val="020F0502020204030204"/>
    <w:charset w:val="BA"/>
    <w:family w:val="swiss"/>
    <w:pitch w:val="variable"/>
    <w:sig w:usb0="E4002EFF" w:usb1="C200247B" w:usb2="00000009" w:usb3="00000000" w:csb0="000001FF" w:csb1="00000000"/>
    <w:embedRegular r:id="rId3" w:fontKey="{DBB72999-CA9B-4CFC-A1F0-74E026E84F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81E32" w14:textId="77777777" w:rsidR="00372C26" w:rsidRPr="00A90D51" w:rsidRDefault="00DC6A03">
    <w:pPr>
      <w:pStyle w:val="Footer"/>
    </w:pPr>
    <w:r w:rsidRPr="00A90D51">
      <w:rPr>
        <w:noProof/>
      </w:rPr>
      <mc:AlternateContent>
        <mc:Choice Requires="wps">
          <w:drawing>
            <wp:anchor distT="0" distB="0" distL="114300" distR="114300" simplePos="0" relativeHeight="251658245" behindDoc="0" locked="0" layoutInCell="1" allowOverlap="1" wp14:anchorId="3FD6BA66" wp14:editId="5035A173">
              <wp:simplePos x="0" y="0"/>
              <wp:positionH relativeFrom="rightMargin">
                <wp:posOffset>-323850</wp:posOffset>
              </wp:positionH>
              <wp:positionV relativeFrom="paragraph">
                <wp:posOffset>189906</wp:posOffset>
              </wp:positionV>
              <wp:extent cx="324000" cy="198000"/>
              <wp:effectExtent l="0" t="0" r="0" b="12065"/>
              <wp:wrapNone/>
              <wp:docPr id="1994033937" name="Text Box 9"/>
              <wp:cNvGraphicFramePr/>
              <a:graphic xmlns:a="http://schemas.openxmlformats.org/drawingml/2006/main">
                <a:graphicData uri="http://schemas.microsoft.com/office/word/2010/wordprocessingShape">
                  <wps:wsp>
                    <wps:cNvSpPr txBox="1"/>
                    <wps:spPr>
                      <a:xfrm>
                        <a:off x="0" y="0"/>
                        <a:ext cx="324000" cy="198000"/>
                      </a:xfrm>
                      <a:prstGeom prst="rect">
                        <a:avLst/>
                      </a:prstGeom>
                      <a:noFill/>
                      <a:ln w="6350">
                        <a:noFill/>
                      </a:ln>
                    </wps:spPr>
                    <wps:txbx>
                      <w:txbxContent>
                        <w:p w14:paraId="093C7668" w14:textId="77777777" w:rsidR="00372C26" w:rsidRPr="00A90D51" w:rsidRDefault="00372C26" w:rsidP="00DC6A03">
                          <w:pPr>
                            <w:pStyle w:val="Header"/>
                            <w:jc w:val="left"/>
                          </w:pPr>
                          <w:r w:rsidRPr="00A90D51">
                            <w:fldChar w:fldCharType="begin"/>
                          </w:r>
                          <w:r w:rsidRPr="00A90D51">
                            <w:instrText xml:space="preserve"> PAGE   \* MERGEFORMAT </w:instrText>
                          </w:r>
                          <w:r w:rsidRPr="00A90D51">
                            <w:fldChar w:fldCharType="separate"/>
                          </w:r>
                          <w:r w:rsidRPr="00A90D51">
                            <w:t>1</w:t>
                          </w:r>
                          <w:r w:rsidRPr="00A90D51">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D6BA66" id="_x0000_t202" coordsize="21600,21600" o:spt="202" path="m,l,21600r21600,l21600,xe">
              <v:stroke joinstyle="miter"/>
              <v:path gradientshapeok="t" o:connecttype="rect"/>
            </v:shapetype>
            <v:shape id="_x0000_s1027" type="#_x0000_t202" style="position:absolute;left:0;text-align:left;margin-left:-25.5pt;margin-top:14.95pt;width:25.5pt;height:15.6pt;z-index:25165824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" filled="f" stroked="f" strokeweight=".5pt">
              <v:textbox inset="0,0,0,0">
                <w:txbxContent>
                  <w:p w14:paraId="093C7668" w14:textId="77777777" w:rsidR="00372C26" w:rsidRPr="00A90D51" w:rsidRDefault="00372C26" w:rsidP="00DC6A03">
                    <w:pPr>
                      <w:pStyle w:val="Header"/>
                      <w:jc w:val="left"/>
                    </w:pPr>
                    <w:r w:rsidRPr="00A90D51">
                      <w:fldChar w:fldCharType="begin"/>
                    </w:r>
                    <w:r w:rsidRPr="00A90D51">
                      <w:instrText xml:space="preserve"> PAGE   \* MERGEFORMAT </w:instrText>
                    </w:r>
                    <w:r w:rsidRPr="00A90D51">
                      <w:fldChar w:fldCharType="separate"/>
                    </w:r>
                    <w:r w:rsidRPr="00A90D51">
                      <w:t>1</w:t>
                    </w:r>
                    <w:r w:rsidRPr="00A90D51">
                      <w:fldChar w:fldCharType="end"/>
                    </w:r>
                  </w:p>
                </w:txbxContent>
              </v:textbox>
              <w10:wrap anchorx="margin"/>
            </v:shape>
          </w:pict>
        </mc:Fallback>
      </mc:AlternateContent>
    </w:r>
    <w:r w:rsidR="00372C26" w:rsidRPr="00A90D51">
      <w:rPr>
        <w:noProof/>
      </w:rPr>
      <mc:AlternateContent>
        <mc:Choice Requires="wps">
          <w:drawing>
            <wp:anchor distT="0" distB="0" distL="114300" distR="114300" simplePos="0" relativeHeight="251658246" behindDoc="0" locked="0" layoutInCell="1" allowOverlap="1" wp14:anchorId="69D76B18" wp14:editId="7686FE50">
              <wp:simplePos x="0" y="0"/>
              <wp:positionH relativeFrom="rightMargin">
                <wp:posOffset>-377825</wp:posOffset>
              </wp:positionH>
              <wp:positionV relativeFrom="paragraph">
                <wp:posOffset>201197</wp:posOffset>
              </wp:positionV>
              <wp:extent cx="0" cy="162000"/>
              <wp:effectExtent l="0" t="0" r="38100" b="28575"/>
              <wp:wrapNone/>
              <wp:docPr id="557382857" name="Straight Connector 10"/>
              <wp:cNvGraphicFramePr/>
              <a:graphic xmlns:a="http://schemas.openxmlformats.org/drawingml/2006/main">
                <a:graphicData uri="http://schemas.microsoft.com/office/word/2010/wordprocessingShape">
                  <wps:wsp>
                    <wps:cNvCnPr/>
                    <wps:spPr>
                      <a:xfrm>
                        <a:off x="0" y="0"/>
                        <a:ext cx="0" cy="16200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line id="Straight Connector 10" style="position:absolute;z-index:25165824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spid="_x0000_s1026" strokecolor="#e6e6e6 [3206]" strokeweight="1pt" from="-29.75pt,15.85pt" to="-29.75pt,28.6pt" w14:anchorId="214A1A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">
              <v:stroke joinstyle="miter"/>
              <w10:wrap anchorx="margin"/>
            </v:line>
          </w:pict>
        </mc:Fallback>
      </mc:AlternateContent>
    </w:r>
    <w:r w:rsidR="00372C26" w:rsidRPr="00A90D51">
      <w:rPr>
        <w:noProof/>
      </w:rPr>
      <mc:AlternateContent>
        <mc:Choice Requires="wps">
          <w:drawing>
            <wp:anchor distT="0" distB="0" distL="114300" distR="114300" simplePos="0" relativeHeight="251658247" behindDoc="0" locked="0" layoutInCell="1" allowOverlap="1" wp14:anchorId="5AFE630D" wp14:editId="5EC12A39">
              <wp:simplePos x="0" y="0"/>
              <wp:positionH relativeFrom="rightMargin">
                <wp:posOffset>-4860925</wp:posOffset>
              </wp:positionH>
              <wp:positionV relativeFrom="paragraph">
                <wp:posOffset>6985</wp:posOffset>
              </wp:positionV>
              <wp:extent cx="4381200" cy="378000"/>
              <wp:effectExtent l="0" t="0" r="635" b="3175"/>
              <wp:wrapNone/>
              <wp:docPr id="768170244" name="Text Box 9"/>
              <wp:cNvGraphicFramePr/>
              <a:graphic xmlns:a="http://schemas.openxmlformats.org/drawingml/2006/main">
                <a:graphicData uri="http://schemas.microsoft.com/office/word/2010/wordprocessingShape">
                  <wps:wsp>
                    <wps:cNvSpPr txBox="1"/>
                    <wps:spPr>
                      <a:xfrm>
                        <a:off x="0" y="0"/>
                        <a:ext cx="4381200" cy="378000"/>
                      </a:xfrm>
                      <a:prstGeom prst="rect">
                        <a:avLst/>
                      </a:prstGeom>
                      <a:noFill/>
                      <a:ln w="6350">
                        <a:noFill/>
                      </a:ln>
                    </wps:spPr>
                    <wps:txbx>
                      <w:txbxContent>
                        <w:sdt>
                          <w:sdtPr>
                            <w:alias w:val="Title"/>
                            <w:tag w:val=""/>
                            <w:id w:val="-1443305023"/>
                            <w:dataBinding w:prefixMappings="xmlns:ns0='http://purl.org/dc/elements/1.1/' xmlns:ns1='http://schemas.openxmlformats.org/package/2006/metadata/core-properties' " w:xpath="/ns1:coreProperties[1]/ns0:title[1]" w:storeItemID="{6C3C8BC8-F283-45AE-878A-BAB7291924A1}"/>
                            <w:text/>
                          </w:sdtPr>
                          <w:sdtEndPr/>
                          <w:sdtContent>
                            <w:p w14:paraId="125A33B5" w14:textId="77777777" w:rsidR="00372C26" w:rsidRPr="00A90D51" w:rsidRDefault="009E7F9C" w:rsidP="00892D67">
                              <w:pPr>
                                <w:pStyle w:val="Header"/>
                              </w:pPr>
                              <w:r>
                                <w:t>Longer Document title which is expanded to three lines!</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E630D" id="_x0000_s1028" type="#_x0000_t202" style="position:absolute;left:0;text-align:left;margin-left:-382.75pt;margin-top:.55pt;width:345pt;height:29.75pt;z-index:25165824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" filled="f" stroked="f" strokeweight=".5pt">
              <v:textbox inset="0,0,0,0">
                <w:txbxContent>
                  <w:sdt>
                    <w:sdtPr>
                      <w:alias w:val="Title"/>
                      <w:tag w:val=""/>
                      <w:id w:val="-1443305023"/>
                      <w:dataBinding w:prefixMappings="xmlns:ns0='http://purl.org/dc/elements/1.1/' xmlns:ns1='http://schemas.openxmlformats.org/package/2006/metadata/core-properties' " w:xpath="/ns1:coreProperties[1]/ns0:title[1]" w:storeItemID="{6C3C8BC8-F283-45AE-878A-BAB7291924A1}"/>
                      <w:text/>
                    </w:sdtPr>
                    <w:sdtEndPr/>
                    <w:sdtContent>
                      <w:p w14:paraId="125A33B5" w14:textId="77777777" w:rsidR="00372C26" w:rsidRPr="00A90D51" w:rsidRDefault="009E7F9C" w:rsidP="00892D67">
                        <w:pPr>
                          <w:pStyle w:val="Header"/>
                        </w:pPr>
                        <w:r>
                          <w:t>Longer Document title which is expanded to three lines!</w:t>
                        </w:r>
                      </w:p>
                    </w:sdtContent>
                  </w:sdt>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D11B1" w14:textId="77777777" w:rsidR="00F81261" w:rsidRPr="00A90D51" w:rsidRDefault="00F81261" w:rsidP="00BA2BE6">
      <w:pPr>
        <w:spacing w:before="0" w:after="0" w:line="240" w:lineRule="auto"/>
      </w:pPr>
      <w:r w:rsidRPr="00A90D51">
        <w:separator/>
      </w:r>
    </w:p>
  </w:footnote>
  <w:footnote w:type="continuationSeparator" w:id="0">
    <w:p w14:paraId="2B87A38A" w14:textId="77777777" w:rsidR="00F81261" w:rsidRPr="00A90D51" w:rsidRDefault="00F81261" w:rsidP="00BA2BE6">
      <w:pPr>
        <w:spacing w:before="0" w:after="0" w:line="240" w:lineRule="auto"/>
      </w:pPr>
      <w:r w:rsidRPr="00A90D5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EE0F7" w14:textId="77777777" w:rsidR="00E237E0" w:rsidRPr="00A90D51" w:rsidRDefault="00DC6A03">
    <w:pPr>
      <w:pStyle w:val="Header"/>
    </w:pPr>
    <w:r w:rsidRPr="00A90D51">
      <w:rPr>
        <w:noProof/>
      </w:rPr>
      <mc:AlternateContent>
        <mc:Choice Requires="wps">
          <w:drawing>
            <wp:anchor distT="0" distB="0" distL="114300" distR="114300" simplePos="0" relativeHeight="251658240" behindDoc="0" locked="0" layoutInCell="1" allowOverlap="1" wp14:anchorId="07DC2447" wp14:editId="40A9DC29">
              <wp:simplePos x="0" y="0"/>
              <wp:positionH relativeFrom="rightMargin">
                <wp:posOffset>-306070</wp:posOffset>
              </wp:positionH>
              <wp:positionV relativeFrom="margin">
                <wp:posOffset>-431800</wp:posOffset>
              </wp:positionV>
              <wp:extent cx="291600" cy="306000"/>
              <wp:effectExtent l="0" t="0" r="13335" b="0"/>
              <wp:wrapNone/>
              <wp:docPr id="2023490423" name="Text Box 9"/>
              <wp:cNvGraphicFramePr/>
              <a:graphic xmlns:a="http://schemas.openxmlformats.org/drawingml/2006/main">
                <a:graphicData uri="http://schemas.microsoft.com/office/word/2010/wordprocessingShape">
                  <wps:wsp>
                    <wps:cNvSpPr txBox="1"/>
                    <wps:spPr>
                      <a:xfrm>
                        <a:off x="0" y="0"/>
                        <a:ext cx="291600" cy="306000"/>
                      </a:xfrm>
                      <a:prstGeom prst="rect">
                        <a:avLst/>
                      </a:prstGeom>
                      <a:noFill/>
                      <a:ln w="6350">
                        <a:noFill/>
                      </a:ln>
                    </wps:spPr>
                    <wps:txbx>
                      <w:txbxContent>
                        <w:p w14:paraId="57FF922C" w14:textId="77777777" w:rsidR="00E7686F" w:rsidRPr="00A90D51" w:rsidRDefault="00E7686F" w:rsidP="00DC6A03">
                          <w:pPr>
                            <w:pStyle w:val="Header"/>
                            <w:jc w:val="left"/>
                          </w:pPr>
                          <w:r w:rsidRPr="00A90D51">
                            <w:fldChar w:fldCharType="begin"/>
                          </w:r>
                          <w:r w:rsidRPr="00A90D51">
                            <w:instrText xml:space="preserve"> PAGE   \* MERGEFORMAT </w:instrText>
                          </w:r>
                          <w:r w:rsidRPr="00A90D51">
                            <w:fldChar w:fldCharType="separate"/>
                          </w:r>
                          <w:r w:rsidRPr="00A90D51">
                            <w:t>1</w:t>
                          </w:r>
                          <w:r w:rsidRPr="00A90D51">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DC2447" id="_x0000_t202" coordsize="21600,21600" o:spt="202" path="m,l,21600r21600,l21600,xe">
              <v:stroke joinstyle="miter"/>
              <v:path gradientshapeok="t" o:connecttype="rect"/>
            </v:shapetype>
            <v:shape id="Text Box 9" o:spid="_x0000_s1026" type="#_x0000_t202" style="position:absolute;left:0;text-align:left;margin-left:-24.1pt;margin-top:-34pt;width:22.95pt;height:24.1pt;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" filled="f" stroked="f" strokeweight=".5pt">
              <v:textbox inset="0,0,0,0">
                <w:txbxContent>
                  <w:p w14:paraId="57FF922C" w14:textId="77777777" w:rsidR="00E7686F" w:rsidRPr="00A90D51" w:rsidRDefault="00E7686F" w:rsidP="00DC6A03">
                    <w:pPr>
                      <w:pStyle w:val="Header"/>
                      <w:jc w:val="left"/>
                    </w:pPr>
                    <w:r w:rsidRPr="00A90D51">
                      <w:fldChar w:fldCharType="begin"/>
                    </w:r>
                    <w:r w:rsidRPr="00A90D51">
                      <w:instrText xml:space="preserve"> PAGE   \* MERGEFORMAT </w:instrText>
                    </w:r>
                    <w:r w:rsidRPr="00A90D51">
                      <w:fldChar w:fldCharType="separate"/>
                    </w:r>
                    <w:r w:rsidRPr="00A90D51">
                      <w:t>1</w:t>
                    </w:r>
                    <w:r w:rsidRPr="00A90D51">
                      <w:fldChar w:fldCharType="end"/>
                    </w:r>
                  </w:p>
                </w:txbxContent>
              </v:textbox>
              <w10:wrap anchorx="margin" anchory="margin"/>
            </v:shape>
          </w:pict>
        </mc:Fallback>
      </mc:AlternateContent>
    </w:r>
    <w:r w:rsidR="00892D67" w:rsidRPr="00A90D51">
      <w:rPr>
        <w:noProof/>
      </w:rPr>
      <mc:AlternateContent>
        <mc:Choice Requires="wps">
          <w:drawing>
            <wp:anchor distT="0" distB="0" distL="114300" distR="114300" simplePos="0" relativeHeight="251658241" behindDoc="0" locked="0" layoutInCell="1" allowOverlap="1" wp14:anchorId="1A04AF8A" wp14:editId="2B1C06CA">
              <wp:simplePos x="0" y="0"/>
              <wp:positionH relativeFrom="rightMargin">
                <wp:posOffset>-377825</wp:posOffset>
              </wp:positionH>
              <wp:positionV relativeFrom="margin">
                <wp:posOffset>-424815</wp:posOffset>
              </wp:positionV>
              <wp:extent cx="0" cy="295200"/>
              <wp:effectExtent l="0" t="0" r="38100" b="29210"/>
              <wp:wrapNone/>
              <wp:docPr id="747135681" name="Straight Connector 10"/>
              <wp:cNvGraphicFramePr/>
              <a:graphic xmlns:a="http://schemas.openxmlformats.org/drawingml/2006/main">
                <a:graphicData uri="http://schemas.microsoft.com/office/word/2010/wordprocessingShape">
                  <wps:wsp>
                    <wps:cNvCnPr/>
                    <wps:spPr>
                      <a:xfrm>
                        <a:off x="0" y="0"/>
                        <a:ext cx="0" cy="295200"/>
                      </a:xfrm>
                      <a:prstGeom prst="line">
                        <a:avLst/>
                      </a:prstGeom>
                      <a:ln w="127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rto="http://schemas.microsoft.com/office/word/2006/arto">
          <w:pict>
            <v:line id="Straight Connector 10" style="position:absolute;z-index:251658241;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margin;mso-height-relative:margin" o:spid="_x0000_s1026" strokecolor="#e6e6e6 [3206]" strokeweight="1pt" from="-29.75pt,-33.45pt" to="-29.75pt,-10.2pt" w14:anchorId="06EBEE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">
              <v:stroke joinstyle="miter"/>
              <w10:wrap anchorx="margin" anchory="margin"/>
            </v:line>
          </w:pict>
        </mc:Fallback>
      </mc:AlternateContent>
    </w:r>
    <w:r w:rsidR="00710008">
      <w:rPr>
        <w:noProof/>
      </w:rPr>
      <w:drawing>
        <wp:anchor distT="0" distB="0" distL="114300" distR="114300" simplePos="0" relativeHeight="251658242" behindDoc="1" locked="1" layoutInCell="1" allowOverlap="1" wp14:anchorId="1F858817" wp14:editId="34E4A306">
          <wp:simplePos x="520065" y="472440"/>
          <wp:positionH relativeFrom="page">
            <wp:align>right</wp:align>
          </wp:positionH>
          <wp:positionV relativeFrom="page">
            <wp:align>bottom</wp:align>
          </wp:positionV>
          <wp:extent cx="7563600" cy="1882800"/>
          <wp:effectExtent l="0" t="0" r="0" b="3175"/>
          <wp:wrapNone/>
          <wp:docPr id="262299924"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26841" name="Picture 2" descr="A black background with a black square&#10;&#10;Description automatically generated with medium confidence"/>
                  <pic:cNvPicPr/>
                </pic:nvPicPr>
                <pic:blipFill>
                  <a:blip r:embed="rId1"/>
                  <a:stretch>
                    <a:fillRect/>
                  </a:stretch>
                </pic:blipFill>
                <pic:spPr>
                  <a:xfrm>
                    <a:off x="0" y="0"/>
                    <a:ext cx="7563600" cy="1882800"/>
                  </a:xfrm>
                  <a:prstGeom prst="rect">
                    <a:avLst/>
                  </a:prstGeom>
                </pic:spPr>
              </pic:pic>
            </a:graphicData>
          </a:graphic>
          <wp14:sizeRelH relativeFrom="margin">
            <wp14:pctWidth>0</wp14:pctWidth>
          </wp14:sizeRelH>
          <wp14:sizeRelV relativeFrom="margin">
            <wp14:pctHeight>0</wp14:pctHeight>
          </wp14:sizeRelV>
        </wp:anchor>
      </w:drawing>
    </w:r>
    <w:r w:rsidR="00710008">
      <w:rPr>
        <w:noProof/>
      </w:rPr>
      <w:drawing>
        <wp:anchor distT="0" distB="0" distL="114300" distR="114300" simplePos="0" relativeHeight="251658243" behindDoc="1" locked="1" layoutInCell="1" allowOverlap="1" wp14:anchorId="2FEDE7E8" wp14:editId="6D5D9EF0">
          <wp:simplePos x="520065" y="472440"/>
          <wp:positionH relativeFrom="page">
            <wp:align>left</wp:align>
          </wp:positionH>
          <wp:positionV relativeFrom="page">
            <wp:align>bottom</wp:align>
          </wp:positionV>
          <wp:extent cx="11030400" cy="939600"/>
          <wp:effectExtent l="0" t="0" r="0" b="0"/>
          <wp:wrapNone/>
          <wp:docPr id="1423380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529950" name="Picture 787529950"/>
                  <pic:cNvPicPr/>
                </pic:nvPicPr>
                <pic:blipFill>
                  <a:blip r:embed="rId2"/>
                  <a:stretch>
                    <a:fillRect/>
                  </a:stretch>
                </pic:blipFill>
                <pic:spPr>
                  <a:xfrm>
                    <a:off x="0" y="0"/>
                    <a:ext cx="11030400" cy="93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470EB" w14:textId="77777777" w:rsidR="006209AD" w:rsidRPr="00A90D51" w:rsidRDefault="006209AD">
    <w:pPr>
      <w:pStyle w:val="Header"/>
    </w:pPr>
    <w:r w:rsidRPr="00A90D51">
      <w:rPr>
        <w:noProof/>
      </w:rPr>
      <w:drawing>
        <wp:anchor distT="0" distB="0" distL="114300" distR="114300" simplePos="0" relativeHeight="251658244" behindDoc="1" locked="1" layoutInCell="1" allowOverlap="1" wp14:anchorId="36A8F535" wp14:editId="71793FB5">
          <wp:simplePos x="519545" y="457200"/>
          <wp:positionH relativeFrom="page">
            <wp:align>left</wp:align>
          </wp:positionH>
          <wp:positionV relativeFrom="page">
            <wp:align>bottom</wp:align>
          </wp:positionV>
          <wp:extent cx="7563600" cy="10695600"/>
          <wp:effectExtent l="0" t="0" r="0" b="0"/>
          <wp:wrapNone/>
          <wp:docPr id="60977163" name="Picture 60977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22288" name="Picture 651322288"/>
                  <pic:cNvPicPr/>
                </pic:nvPicPr>
                <pic:blipFill>
                  <a:blip r:embed="rId1"/>
                  <a:stretch>
                    <a:fillRect/>
                  </a:stretch>
                </pic:blipFill>
                <pic:spPr>
                  <a:xfrm>
                    <a:off x="0" y="0"/>
                    <a:ext cx="7563600" cy="10695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5pt;height:51.5pt" o:bullet="t">
        <v:imagedata r:id="rId1" o:title="Asset 2"/>
      </v:shape>
    </w:pict>
  </w:numPicBullet>
  <w:numPicBullet w:numPicBulletId="1">
    <w:pict>
      <v:shape id="_x0000_i1026" type="#_x0000_t75" style="width:51.5pt;height:51.5pt" o:bullet="t">
        <v:imagedata r:id="rId2" o:title="Asset 4"/>
      </v:shape>
    </w:pict>
  </w:numPicBullet>
  <w:numPicBullet w:numPicBulletId="2">
    <w:pict>
      <v:shape id="_x0000_i1027" type="#_x0000_t75" style="width:51.5pt;height:51.5pt" o:bullet="t">
        <v:imagedata r:id="rId3" o:title="Asset 3"/>
      </v:shape>
    </w:pict>
  </w:numPicBullet>
  <w:numPicBullet w:numPicBulletId="3">
    <w:pict>
      <v:shape id="_x0000_i1028" type="#_x0000_t75" style="width:51.5pt;height:51.5pt" o:bullet="t">
        <v:imagedata r:id="rId4" o:title="Asset 6"/>
      </v:shape>
    </w:pict>
  </w:numPicBullet>
  <w:numPicBullet w:numPicBulletId="4">
    <w:pict>
      <v:shape id="_x0000_i1029" type="#_x0000_t75" style="width:51.5pt;height:51.5pt" o:bullet="t">
        <v:imagedata r:id="rId5" o:title="Asset 5"/>
      </v:shape>
    </w:pict>
  </w:numPicBullet>
  <w:numPicBullet w:numPicBulletId="5">
    <w:pict>
      <v:shape id="_x0000_i1030" type="#_x0000_t75" style="width:51.5pt;height:51.5pt" o:bullet="t">
        <v:imagedata r:id="rId6" o:title="Asset 8"/>
      </v:shape>
    </w:pict>
  </w:numPicBullet>
  <w:numPicBullet w:numPicBulletId="6">
    <w:pict>
      <v:shape id="_x0000_i1031" type="#_x0000_t75" style="width:51.5pt;height:51.5pt" o:bullet="t">
        <v:imagedata r:id="rId7" o:title="Asset 10"/>
      </v:shape>
    </w:pict>
  </w:numPicBullet>
  <w:numPicBullet w:numPicBulletId="7">
    <w:pict>
      <v:shape id="_x0000_i1032" type="#_x0000_t75" style="width:51.5pt;height:51.5pt" o:bullet="t">
        <v:imagedata r:id="rId8" o:title="Asset 9"/>
      </v:shape>
    </w:pict>
  </w:numPicBullet>
  <w:numPicBullet w:numPicBulletId="8">
    <w:pict>
      <v:shape id="_x0000_i1033" type="#_x0000_t75" style="width:51.5pt;height:51.5pt" o:bullet="t">
        <v:imagedata r:id="rId9" o:title="Asset 12"/>
      </v:shape>
    </w:pict>
  </w:numPicBullet>
  <w:numPicBullet w:numPicBulletId="9">
    <w:pict>
      <v:shape id="_x0000_i1034" type="#_x0000_t75" style="width:51.5pt;height:51.5pt" o:bullet="t">
        <v:imagedata r:id="rId10" o:title="Asset 11"/>
      </v:shape>
    </w:pict>
  </w:numPicBullet>
  <w:numPicBullet w:numPicBulletId="10">
    <w:pict>
      <v:shape id="_x0000_i1035" type="#_x0000_t75" style="width:20.5pt;height:20.5pt" o:bullet="t">
        <v:imagedata r:id="rId11" o:title="Asset 15"/>
      </v:shape>
    </w:pict>
  </w:numPicBullet>
  <w:numPicBullet w:numPicBulletId="11">
    <w:pict>
      <v:shape id="_x0000_i1036" type="#_x0000_t75" style="width:20.5pt;height:20.5pt" o:bullet="t">
        <v:imagedata r:id="rId12" o:title="Asset 16"/>
      </v:shape>
    </w:pict>
  </w:numPicBullet>
  <w:numPicBullet w:numPicBulletId="12">
    <w:pict>
      <v:shape id="_x0000_i1037" type="#_x0000_t75" style="width:20.5pt;height:20.5pt" o:bullet="t">
        <v:imagedata r:id="rId13" o:title="Asset 18"/>
      </v:shape>
    </w:pict>
  </w:numPicBullet>
  <w:numPicBullet w:numPicBulletId="13">
    <w:pict>
      <v:shape id="_x0000_i1038" type="#_x0000_t75" style="width:20.5pt;height:20.5pt" o:bullet="t">
        <v:imagedata r:id="rId14" o:title="Asset 15_word"/>
      </v:shape>
    </w:pict>
  </w:numPicBullet>
  <w:numPicBullet w:numPicBulletId="14">
    <w:pict>
      <v:shape id="_x0000_i1039" type="#_x0000_t75" style="width:20.5pt;height:20.5pt" o:bullet="t">
        <v:imagedata r:id="rId15" o:title="Asset 16_word"/>
      </v:shape>
    </w:pict>
  </w:numPicBullet>
  <w:numPicBullet w:numPicBulletId="15">
    <w:pict>
      <v:shape id="_x0000_i1040" type="#_x0000_t75" style="width:20.5pt;height:20.5pt" o:bullet="t">
        <v:imagedata r:id="rId16" o:title="Asset 18_word"/>
      </v:shape>
    </w:pict>
  </w:numPicBullet>
  <w:abstractNum w:abstractNumId="0" w15:restartNumberingAfterBreak="0">
    <w:nsid w:val="FFFFFF80"/>
    <w:multiLevelType w:val="singleLevel"/>
    <w:tmpl w:val="9948D60E"/>
    <w:lvl w:ilvl="0">
      <w:start w:val="1"/>
      <w:numFmt w:val="bullet"/>
      <w:pStyle w:val="ListBullet5"/>
      <w:lvlText w:val="–"/>
      <w:lvlJc w:val="left"/>
      <w:pPr>
        <w:ind w:left="1721" w:hanging="360"/>
      </w:pPr>
      <w:rPr>
        <w:rFonts w:ascii="Arial Black" w:hAnsi="Arial Black" w:hint="default"/>
        <w:color w:val="auto"/>
      </w:rPr>
    </w:lvl>
  </w:abstractNum>
  <w:abstractNum w:abstractNumId="1" w15:restartNumberingAfterBreak="0">
    <w:nsid w:val="FFFFFF81"/>
    <w:multiLevelType w:val="singleLevel"/>
    <w:tmpl w:val="8EF4C65C"/>
    <w:lvl w:ilvl="0">
      <w:start w:val="1"/>
      <w:numFmt w:val="bullet"/>
      <w:pStyle w:val="ListBullet4"/>
      <w:lvlText w:val="–"/>
      <w:lvlJc w:val="left"/>
      <w:pPr>
        <w:ind w:left="1381" w:hanging="360"/>
      </w:pPr>
      <w:rPr>
        <w:rFonts w:ascii="Arial Black" w:hAnsi="Arial Black" w:hint="default"/>
        <w:color w:val="auto"/>
      </w:rPr>
    </w:lvl>
  </w:abstractNum>
  <w:abstractNum w:abstractNumId="2" w15:restartNumberingAfterBreak="0">
    <w:nsid w:val="FFFFFF82"/>
    <w:multiLevelType w:val="singleLevel"/>
    <w:tmpl w:val="394CA79A"/>
    <w:lvl w:ilvl="0">
      <w:start w:val="1"/>
      <w:numFmt w:val="bullet"/>
      <w:pStyle w:val="ListBullet3"/>
      <w:lvlText w:val="–"/>
      <w:lvlJc w:val="left"/>
      <w:pPr>
        <w:ind w:left="1040" w:hanging="360"/>
      </w:pPr>
      <w:rPr>
        <w:rFonts w:ascii="Arial Black" w:hAnsi="Arial Black" w:hint="default"/>
        <w:color w:val="auto"/>
      </w:rPr>
    </w:lvl>
  </w:abstractNum>
  <w:abstractNum w:abstractNumId="3" w15:restartNumberingAfterBreak="0">
    <w:nsid w:val="FFFFFF83"/>
    <w:multiLevelType w:val="singleLevel"/>
    <w:tmpl w:val="E50452DC"/>
    <w:lvl w:ilvl="0">
      <w:start w:val="1"/>
      <w:numFmt w:val="bullet"/>
      <w:pStyle w:val="ListBullet2"/>
      <w:lvlText w:val="⁄"/>
      <w:lvlJc w:val="left"/>
      <w:pPr>
        <w:ind w:left="700" w:hanging="360"/>
      </w:pPr>
      <w:rPr>
        <w:rFonts w:ascii="Montserrat Black" w:hAnsi="Montserrat Black" w:hint="default"/>
        <w:color w:val="auto"/>
      </w:rPr>
    </w:lvl>
  </w:abstractNum>
  <w:abstractNum w:abstractNumId="4" w15:restartNumberingAfterBreak="0">
    <w:nsid w:val="FFFFFF89"/>
    <w:multiLevelType w:val="singleLevel"/>
    <w:tmpl w:val="0CC2BAFC"/>
    <w:lvl w:ilvl="0">
      <w:start w:val="1"/>
      <w:numFmt w:val="bullet"/>
      <w:pStyle w:val="ListBullet"/>
      <w:lvlText w:val="¡"/>
      <w:lvlJc w:val="left"/>
      <w:pPr>
        <w:ind w:left="360" w:hanging="360"/>
      </w:pPr>
      <w:rPr>
        <w:rFonts w:ascii="Wingdings 2" w:hAnsi="Wingdings 2" w:hint="default"/>
        <w:color w:val="auto"/>
      </w:rPr>
    </w:lvl>
  </w:abstractNum>
  <w:abstractNum w:abstractNumId="5" w15:restartNumberingAfterBreak="0">
    <w:nsid w:val="0BE7611E"/>
    <w:multiLevelType w:val="hybridMultilevel"/>
    <w:tmpl w:val="007CDDF8"/>
    <w:lvl w:ilvl="0" w:tplc="F092ABEC">
      <w:start w:val="1"/>
      <w:numFmt w:val="decimal"/>
      <w:lvlText w:val="%1."/>
      <w:lvlJc w:val="left"/>
      <w:pPr>
        <w:ind w:left="652" w:hanging="360"/>
      </w:pPr>
    </w:lvl>
    <w:lvl w:ilvl="1" w:tplc="40090019" w:tentative="1">
      <w:start w:val="1"/>
      <w:numFmt w:val="lowerLetter"/>
      <w:lvlText w:val="%2."/>
      <w:lvlJc w:val="left"/>
      <w:pPr>
        <w:ind w:left="1372" w:hanging="360"/>
      </w:pPr>
    </w:lvl>
    <w:lvl w:ilvl="2" w:tplc="4009001B" w:tentative="1">
      <w:start w:val="1"/>
      <w:numFmt w:val="lowerRoman"/>
      <w:lvlText w:val="%3."/>
      <w:lvlJc w:val="right"/>
      <w:pPr>
        <w:ind w:left="2092" w:hanging="180"/>
      </w:pPr>
    </w:lvl>
    <w:lvl w:ilvl="3" w:tplc="4009000F" w:tentative="1">
      <w:start w:val="1"/>
      <w:numFmt w:val="decimal"/>
      <w:lvlText w:val="%4."/>
      <w:lvlJc w:val="left"/>
      <w:pPr>
        <w:ind w:left="2812" w:hanging="360"/>
      </w:pPr>
    </w:lvl>
    <w:lvl w:ilvl="4" w:tplc="40090019" w:tentative="1">
      <w:start w:val="1"/>
      <w:numFmt w:val="lowerLetter"/>
      <w:lvlText w:val="%5."/>
      <w:lvlJc w:val="left"/>
      <w:pPr>
        <w:ind w:left="3532" w:hanging="360"/>
      </w:pPr>
    </w:lvl>
    <w:lvl w:ilvl="5" w:tplc="4009001B" w:tentative="1">
      <w:start w:val="1"/>
      <w:numFmt w:val="lowerRoman"/>
      <w:lvlText w:val="%6."/>
      <w:lvlJc w:val="right"/>
      <w:pPr>
        <w:ind w:left="4252" w:hanging="180"/>
      </w:pPr>
    </w:lvl>
    <w:lvl w:ilvl="6" w:tplc="4009000F" w:tentative="1">
      <w:start w:val="1"/>
      <w:numFmt w:val="decimal"/>
      <w:lvlText w:val="%7."/>
      <w:lvlJc w:val="left"/>
      <w:pPr>
        <w:ind w:left="4972" w:hanging="360"/>
      </w:pPr>
    </w:lvl>
    <w:lvl w:ilvl="7" w:tplc="40090019" w:tentative="1">
      <w:start w:val="1"/>
      <w:numFmt w:val="lowerLetter"/>
      <w:lvlText w:val="%8."/>
      <w:lvlJc w:val="left"/>
      <w:pPr>
        <w:ind w:left="5692" w:hanging="360"/>
      </w:pPr>
    </w:lvl>
    <w:lvl w:ilvl="8" w:tplc="4009001B" w:tentative="1">
      <w:start w:val="1"/>
      <w:numFmt w:val="lowerRoman"/>
      <w:lvlText w:val="%9."/>
      <w:lvlJc w:val="right"/>
      <w:pPr>
        <w:ind w:left="6412" w:hanging="180"/>
      </w:pPr>
    </w:lvl>
  </w:abstractNum>
  <w:abstractNum w:abstractNumId="6" w15:restartNumberingAfterBreak="0">
    <w:nsid w:val="243B1EA2"/>
    <w:multiLevelType w:val="hybridMultilevel"/>
    <w:tmpl w:val="AFB0A8F6"/>
    <w:lvl w:ilvl="0" w:tplc="BD501B30">
      <w:start w:val="1"/>
      <w:numFmt w:val="decimal"/>
      <w:pStyle w:val="GraphTitle"/>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624A8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BCC522F"/>
    <w:multiLevelType w:val="hybridMultilevel"/>
    <w:tmpl w:val="44B683A8"/>
    <w:lvl w:ilvl="0" w:tplc="49B07692">
      <w:start w:val="1"/>
      <w:numFmt w:val="bullet"/>
      <w:lvlText w:val="▪"/>
      <w:lvlJc w:val="left"/>
      <w:pPr>
        <w:tabs>
          <w:tab w:val="num" w:pos="720"/>
        </w:tabs>
        <w:ind w:left="720" w:hanging="360"/>
      </w:pPr>
      <w:rPr>
        <w:rFonts w:ascii="Noto Sans Symbols" w:hAnsi="Noto Sans Symbols" w:hint="default"/>
      </w:rPr>
    </w:lvl>
    <w:lvl w:ilvl="1" w:tplc="5E1E3A24" w:tentative="1">
      <w:start w:val="1"/>
      <w:numFmt w:val="bullet"/>
      <w:lvlText w:val="▪"/>
      <w:lvlJc w:val="left"/>
      <w:pPr>
        <w:tabs>
          <w:tab w:val="num" w:pos="1440"/>
        </w:tabs>
        <w:ind w:left="1440" w:hanging="360"/>
      </w:pPr>
      <w:rPr>
        <w:rFonts w:ascii="Noto Sans Symbols" w:hAnsi="Noto Sans Symbols" w:hint="default"/>
      </w:rPr>
    </w:lvl>
    <w:lvl w:ilvl="2" w:tplc="DEECC5AC" w:tentative="1">
      <w:start w:val="1"/>
      <w:numFmt w:val="bullet"/>
      <w:lvlText w:val="▪"/>
      <w:lvlJc w:val="left"/>
      <w:pPr>
        <w:tabs>
          <w:tab w:val="num" w:pos="2160"/>
        </w:tabs>
        <w:ind w:left="2160" w:hanging="360"/>
      </w:pPr>
      <w:rPr>
        <w:rFonts w:ascii="Noto Sans Symbols" w:hAnsi="Noto Sans Symbols" w:hint="default"/>
      </w:rPr>
    </w:lvl>
    <w:lvl w:ilvl="3" w:tplc="E81AC26C" w:tentative="1">
      <w:start w:val="1"/>
      <w:numFmt w:val="bullet"/>
      <w:lvlText w:val="▪"/>
      <w:lvlJc w:val="left"/>
      <w:pPr>
        <w:tabs>
          <w:tab w:val="num" w:pos="2880"/>
        </w:tabs>
        <w:ind w:left="2880" w:hanging="360"/>
      </w:pPr>
      <w:rPr>
        <w:rFonts w:ascii="Noto Sans Symbols" w:hAnsi="Noto Sans Symbols" w:hint="default"/>
      </w:rPr>
    </w:lvl>
    <w:lvl w:ilvl="4" w:tplc="204C8972" w:tentative="1">
      <w:start w:val="1"/>
      <w:numFmt w:val="bullet"/>
      <w:lvlText w:val="▪"/>
      <w:lvlJc w:val="left"/>
      <w:pPr>
        <w:tabs>
          <w:tab w:val="num" w:pos="3600"/>
        </w:tabs>
        <w:ind w:left="3600" w:hanging="360"/>
      </w:pPr>
      <w:rPr>
        <w:rFonts w:ascii="Noto Sans Symbols" w:hAnsi="Noto Sans Symbols" w:hint="default"/>
      </w:rPr>
    </w:lvl>
    <w:lvl w:ilvl="5" w:tplc="43C43EE8" w:tentative="1">
      <w:start w:val="1"/>
      <w:numFmt w:val="bullet"/>
      <w:lvlText w:val="▪"/>
      <w:lvlJc w:val="left"/>
      <w:pPr>
        <w:tabs>
          <w:tab w:val="num" w:pos="4320"/>
        </w:tabs>
        <w:ind w:left="4320" w:hanging="360"/>
      </w:pPr>
      <w:rPr>
        <w:rFonts w:ascii="Noto Sans Symbols" w:hAnsi="Noto Sans Symbols" w:hint="default"/>
      </w:rPr>
    </w:lvl>
    <w:lvl w:ilvl="6" w:tplc="A4DAAC72" w:tentative="1">
      <w:start w:val="1"/>
      <w:numFmt w:val="bullet"/>
      <w:lvlText w:val="▪"/>
      <w:lvlJc w:val="left"/>
      <w:pPr>
        <w:tabs>
          <w:tab w:val="num" w:pos="5040"/>
        </w:tabs>
        <w:ind w:left="5040" w:hanging="360"/>
      </w:pPr>
      <w:rPr>
        <w:rFonts w:ascii="Noto Sans Symbols" w:hAnsi="Noto Sans Symbols" w:hint="default"/>
      </w:rPr>
    </w:lvl>
    <w:lvl w:ilvl="7" w:tplc="34EA75FA" w:tentative="1">
      <w:start w:val="1"/>
      <w:numFmt w:val="bullet"/>
      <w:lvlText w:val="▪"/>
      <w:lvlJc w:val="left"/>
      <w:pPr>
        <w:tabs>
          <w:tab w:val="num" w:pos="5760"/>
        </w:tabs>
        <w:ind w:left="5760" w:hanging="360"/>
      </w:pPr>
      <w:rPr>
        <w:rFonts w:ascii="Noto Sans Symbols" w:hAnsi="Noto Sans Symbols" w:hint="default"/>
      </w:rPr>
    </w:lvl>
    <w:lvl w:ilvl="8" w:tplc="595C91B4" w:tentative="1">
      <w:start w:val="1"/>
      <w:numFmt w:val="bullet"/>
      <w:lvlText w:val="▪"/>
      <w:lvlJc w:val="left"/>
      <w:pPr>
        <w:tabs>
          <w:tab w:val="num" w:pos="6480"/>
        </w:tabs>
        <w:ind w:left="6480" w:hanging="360"/>
      </w:pPr>
      <w:rPr>
        <w:rFonts w:ascii="Noto Sans Symbols" w:hAnsi="Noto Sans Symbols" w:hint="default"/>
      </w:rPr>
    </w:lvl>
  </w:abstractNum>
  <w:abstractNum w:abstractNumId="9" w15:restartNumberingAfterBreak="0">
    <w:nsid w:val="3CB07630"/>
    <w:multiLevelType w:val="hybridMultilevel"/>
    <w:tmpl w:val="6B867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C63321"/>
    <w:multiLevelType w:val="hybridMultilevel"/>
    <w:tmpl w:val="850EE8D8"/>
    <w:lvl w:ilvl="0" w:tplc="5BC60D68">
      <w:start w:val="1"/>
      <w:numFmt w:val="bullet"/>
      <w:lvlText w:val="▪"/>
      <w:lvlJc w:val="left"/>
      <w:pPr>
        <w:tabs>
          <w:tab w:val="num" w:pos="720"/>
        </w:tabs>
        <w:ind w:left="720" w:hanging="360"/>
      </w:pPr>
      <w:rPr>
        <w:rFonts w:ascii="Noto Sans Symbols" w:hAnsi="Noto Sans Symbols" w:hint="default"/>
      </w:rPr>
    </w:lvl>
    <w:lvl w:ilvl="1" w:tplc="C3B6BD6C" w:tentative="1">
      <w:start w:val="1"/>
      <w:numFmt w:val="bullet"/>
      <w:lvlText w:val="▪"/>
      <w:lvlJc w:val="left"/>
      <w:pPr>
        <w:tabs>
          <w:tab w:val="num" w:pos="1440"/>
        </w:tabs>
        <w:ind w:left="1440" w:hanging="360"/>
      </w:pPr>
      <w:rPr>
        <w:rFonts w:ascii="Noto Sans Symbols" w:hAnsi="Noto Sans Symbols" w:hint="default"/>
      </w:rPr>
    </w:lvl>
    <w:lvl w:ilvl="2" w:tplc="794E16FC" w:tentative="1">
      <w:start w:val="1"/>
      <w:numFmt w:val="bullet"/>
      <w:lvlText w:val="▪"/>
      <w:lvlJc w:val="left"/>
      <w:pPr>
        <w:tabs>
          <w:tab w:val="num" w:pos="2160"/>
        </w:tabs>
        <w:ind w:left="2160" w:hanging="360"/>
      </w:pPr>
      <w:rPr>
        <w:rFonts w:ascii="Noto Sans Symbols" w:hAnsi="Noto Sans Symbols" w:hint="default"/>
      </w:rPr>
    </w:lvl>
    <w:lvl w:ilvl="3" w:tplc="103A05B2" w:tentative="1">
      <w:start w:val="1"/>
      <w:numFmt w:val="bullet"/>
      <w:lvlText w:val="▪"/>
      <w:lvlJc w:val="left"/>
      <w:pPr>
        <w:tabs>
          <w:tab w:val="num" w:pos="2880"/>
        </w:tabs>
        <w:ind w:left="2880" w:hanging="360"/>
      </w:pPr>
      <w:rPr>
        <w:rFonts w:ascii="Noto Sans Symbols" w:hAnsi="Noto Sans Symbols" w:hint="default"/>
      </w:rPr>
    </w:lvl>
    <w:lvl w:ilvl="4" w:tplc="FFB8C61A" w:tentative="1">
      <w:start w:val="1"/>
      <w:numFmt w:val="bullet"/>
      <w:lvlText w:val="▪"/>
      <w:lvlJc w:val="left"/>
      <w:pPr>
        <w:tabs>
          <w:tab w:val="num" w:pos="3600"/>
        </w:tabs>
        <w:ind w:left="3600" w:hanging="360"/>
      </w:pPr>
      <w:rPr>
        <w:rFonts w:ascii="Noto Sans Symbols" w:hAnsi="Noto Sans Symbols" w:hint="default"/>
      </w:rPr>
    </w:lvl>
    <w:lvl w:ilvl="5" w:tplc="6FD26E04" w:tentative="1">
      <w:start w:val="1"/>
      <w:numFmt w:val="bullet"/>
      <w:lvlText w:val="▪"/>
      <w:lvlJc w:val="left"/>
      <w:pPr>
        <w:tabs>
          <w:tab w:val="num" w:pos="4320"/>
        </w:tabs>
        <w:ind w:left="4320" w:hanging="360"/>
      </w:pPr>
      <w:rPr>
        <w:rFonts w:ascii="Noto Sans Symbols" w:hAnsi="Noto Sans Symbols" w:hint="default"/>
      </w:rPr>
    </w:lvl>
    <w:lvl w:ilvl="6" w:tplc="3212509C" w:tentative="1">
      <w:start w:val="1"/>
      <w:numFmt w:val="bullet"/>
      <w:lvlText w:val="▪"/>
      <w:lvlJc w:val="left"/>
      <w:pPr>
        <w:tabs>
          <w:tab w:val="num" w:pos="5040"/>
        </w:tabs>
        <w:ind w:left="5040" w:hanging="360"/>
      </w:pPr>
      <w:rPr>
        <w:rFonts w:ascii="Noto Sans Symbols" w:hAnsi="Noto Sans Symbols" w:hint="default"/>
      </w:rPr>
    </w:lvl>
    <w:lvl w:ilvl="7" w:tplc="FE84C41A" w:tentative="1">
      <w:start w:val="1"/>
      <w:numFmt w:val="bullet"/>
      <w:lvlText w:val="▪"/>
      <w:lvlJc w:val="left"/>
      <w:pPr>
        <w:tabs>
          <w:tab w:val="num" w:pos="5760"/>
        </w:tabs>
        <w:ind w:left="5760" w:hanging="360"/>
      </w:pPr>
      <w:rPr>
        <w:rFonts w:ascii="Noto Sans Symbols" w:hAnsi="Noto Sans Symbols" w:hint="default"/>
      </w:rPr>
    </w:lvl>
    <w:lvl w:ilvl="8" w:tplc="8F22B412" w:tentative="1">
      <w:start w:val="1"/>
      <w:numFmt w:val="bullet"/>
      <w:lvlText w:val="▪"/>
      <w:lvlJc w:val="left"/>
      <w:pPr>
        <w:tabs>
          <w:tab w:val="num" w:pos="6480"/>
        </w:tabs>
        <w:ind w:left="6480" w:hanging="360"/>
      </w:pPr>
      <w:rPr>
        <w:rFonts w:ascii="Noto Sans Symbols" w:hAnsi="Noto Sans Symbols" w:hint="default"/>
      </w:rPr>
    </w:lvl>
  </w:abstractNum>
  <w:abstractNum w:abstractNumId="11" w15:restartNumberingAfterBreak="0">
    <w:nsid w:val="42987BE5"/>
    <w:multiLevelType w:val="hybridMultilevel"/>
    <w:tmpl w:val="F2A8C100"/>
    <w:lvl w:ilvl="0" w:tplc="8DFA19E4">
      <w:start w:val="1"/>
      <w:numFmt w:val="decimal"/>
      <w:pStyle w:val="TableTitle"/>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AB3667D"/>
    <w:multiLevelType w:val="hybridMultilevel"/>
    <w:tmpl w:val="375E9B1C"/>
    <w:lvl w:ilvl="0" w:tplc="0094A760">
      <w:start w:val="1"/>
      <w:numFmt w:val="bullet"/>
      <w:lvlText w:val="▪"/>
      <w:lvlJc w:val="left"/>
      <w:pPr>
        <w:tabs>
          <w:tab w:val="num" w:pos="720"/>
        </w:tabs>
        <w:ind w:left="720" w:hanging="360"/>
      </w:pPr>
      <w:rPr>
        <w:rFonts w:ascii="Noto Sans Symbols" w:hAnsi="Noto Sans Symbols" w:hint="default"/>
      </w:rPr>
    </w:lvl>
    <w:lvl w:ilvl="1" w:tplc="B39AB2F2" w:tentative="1">
      <w:start w:val="1"/>
      <w:numFmt w:val="bullet"/>
      <w:lvlText w:val="▪"/>
      <w:lvlJc w:val="left"/>
      <w:pPr>
        <w:tabs>
          <w:tab w:val="num" w:pos="1440"/>
        </w:tabs>
        <w:ind w:left="1440" w:hanging="360"/>
      </w:pPr>
      <w:rPr>
        <w:rFonts w:ascii="Noto Sans Symbols" w:hAnsi="Noto Sans Symbols" w:hint="default"/>
      </w:rPr>
    </w:lvl>
    <w:lvl w:ilvl="2" w:tplc="9C829368" w:tentative="1">
      <w:start w:val="1"/>
      <w:numFmt w:val="bullet"/>
      <w:lvlText w:val="▪"/>
      <w:lvlJc w:val="left"/>
      <w:pPr>
        <w:tabs>
          <w:tab w:val="num" w:pos="2160"/>
        </w:tabs>
        <w:ind w:left="2160" w:hanging="360"/>
      </w:pPr>
      <w:rPr>
        <w:rFonts w:ascii="Noto Sans Symbols" w:hAnsi="Noto Sans Symbols" w:hint="default"/>
      </w:rPr>
    </w:lvl>
    <w:lvl w:ilvl="3" w:tplc="926E1248" w:tentative="1">
      <w:start w:val="1"/>
      <w:numFmt w:val="bullet"/>
      <w:lvlText w:val="▪"/>
      <w:lvlJc w:val="left"/>
      <w:pPr>
        <w:tabs>
          <w:tab w:val="num" w:pos="2880"/>
        </w:tabs>
        <w:ind w:left="2880" w:hanging="360"/>
      </w:pPr>
      <w:rPr>
        <w:rFonts w:ascii="Noto Sans Symbols" w:hAnsi="Noto Sans Symbols" w:hint="default"/>
      </w:rPr>
    </w:lvl>
    <w:lvl w:ilvl="4" w:tplc="A710C3FE" w:tentative="1">
      <w:start w:val="1"/>
      <w:numFmt w:val="bullet"/>
      <w:lvlText w:val="▪"/>
      <w:lvlJc w:val="left"/>
      <w:pPr>
        <w:tabs>
          <w:tab w:val="num" w:pos="3600"/>
        </w:tabs>
        <w:ind w:left="3600" w:hanging="360"/>
      </w:pPr>
      <w:rPr>
        <w:rFonts w:ascii="Noto Sans Symbols" w:hAnsi="Noto Sans Symbols" w:hint="default"/>
      </w:rPr>
    </w:lvl>
    <w:lvl w:ilvl="5" w:tplc="8B060B60" w:tentative="1">
      <w:start w:val="1"/>
      <w:numFmt w:val="bullet"/>
      <w:lvlText w:val="▪"/>
      <w:lvlJc w:val="left"/>
      <w:pPr>
        <w:tabs>
          <w:tab w:val="num" w:pos="4320"/>
        </w:tabs>
        <w:ind w:left="4320" w:hanging="360"/>
      </w:pPr>
      <w:rPr>
        <w:rFonts w:ascii="Noto Sans Symbols" w:hAnsi="Noto Sans Symbols" w:hint="default"/>
      </w:rPr>
    </w:lvl>
    <w:lvl w:ilvl="6" w:tplc="DADCE860" w:tentative="1">
      <w:start w:val="1"/>
      <w:numFmt w:val="bullet"/>
      <w:lvlText w:val="▪"/>
      <w:lvlJc w:val="left"/>
      <w:pPr>
        <w:tabs>
          <w:tab w:val="num" w:pos="5040"/>
        </w:tabs>
        <w:ind w:left="5040" w:hanging="360"/>
      </w:pPr>
      <w:rPr>
        <w:rFonts w:ascii="Noto Sans Symbols" w:hAnsi="Noto Sans Symbols" w:hint="default"/>
      </w:rPr>
    </w:lvl>
    <w:lvl w:ilvl="7" w:tplc="3B162DAE" w:tentative="1">
      <w:start w:val="1"/>
      <w:numFmt w:val="bullet"/>
      <w:lvlText w:val="▪"/>
      <w:lvlJc w:val="left"/>
      <w:pPr>
        <w:tabs>
          <w:tab w:val="num" w:pos="5760"/>
        </w:tabs>
        <w:ind w:left="5760" w:hanging="360"/>
      </w:pPr>
      <w:rPr>
        <w:rFonts w:ascii="Noto Sans Symbols" w:hAnsi="Noto Sans Symbols" w:hint="default"/>
      </w:rPr>
    </w:lvl>
    <w:lvl w:ilvl="8" w:tplc="F83E124E" w:tentative="1">
      <w:start w:val="1"/>
      <w:numFmt w:val="bullet"/>
      <w:lvlText w:val="▪"/>
      <w:lvlJc w:val="left"/>
      <w:pPr>
        <w:tabs>
          <w:tab w:val="num" w:pos="6480"/>
        </w:tabs>
        <w:ind w:left="6480" w:hanging="360"/>
      </w:pPr>
      <w:rPr>
        <w:rFonts w:ascii="Noto Sans Symbols" w:hAnsi="Noto Sans Symbols" w:hint="default"/>
      </w:rPr>
    </w:lvl>
  </w:abstractNum>
  <w:abstractNum w:abstractNumId="13" w15:restartNumberingAfterBreak="0">
    <w:nsid w:val="5A4E2FCF"/>
    <w:multiLevelType w:val="hybridMultilevel"/>
    <w:tmpl w:val="408E10C0"/>
    <w:lvl w:ilvl="0" w:tplc="19B4542A">
      <w:start w:val="1"/>
      <w:numFmt w:val="decimal"/>
      <w:pStyle w:val="SectionHead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72674B2"/>
    <w:multiLevelType w:val="hybridMultilevel"/>
    <w:tmpl w:val="311A1616"/>
    <w:lvl w:ilvl="0" w:tplc="88E05CA0">
      <w:start w:val="1"/>
      <w:numFmt w:val="bullet"/>
      <w:lvlText w:val="▪"/>
      <w:lvlJc w:val="left"/>
      <w:pPr>
        <w:tabs>
          <w:tab w:val="num" w:pos="720"/>
        </w:tabs>
        <w:ind w:left="720" w:hanging="360"/>
      </w:pPr>
      <w:rPr>
        <w:rFonts w:ascii="Noto Sans Symbols" w:hAnsi="Noto Sans Symbols" w:hint="default"/>
      </w:rPr>
    </w:lvl>
    <w:lvl w:ilvl="1" w:tplc="F88A8332" w:tentative="1">
      <w:start w:val="1"/>
      <w:numFmt w:val="bullet"/>
      <w:lvlText w:val="▪"/>
      <w:lvlJc w:val="left"/>
      <w:pPr>
        <w:tabs>
          <w:tab w:val="num" w:pos="1440"/>
        </w:tabs>
        <w:ind w:left="1440" w:hanging="360"/>
      </w:pPr>
      <w:rPr>
        <w:rFonts w:ascii="Noto Sans Symbols" w:hAnsi="Noto Sans Symbols" w:hint="default"/>
      </w:rPr>
    </w:lvl>
    <w:lvl w:ilvl="2" w:tplc="789EA3AE" w:tentative="1">
      <w:start w:val="1"/>
      <w:numFmt w:val="bullet"/>
      <w:lvlText w:val="▪"/>
      <w:lvlJc w:val="left"/>
      <w:pPr>
        <w:tabs>
          <w:tab w:val="num" w:pos="2160"/>
        </w:tabs>
        <w:ind w:left="2160" w:hanging="360"/>
      </w:pPr>
      <w:rPr>
        <w:rFonts w:ascii="Noto Sans Symbols" w:hAnsi="Noto Sans Symbols" w:hint="default"/>
      </w:rPr>
    </w:lvl>
    <w:lvl w:ilvl="3" w:tplc="E482E09C" w:tentative="1">
      <w:start w:val="1"/>
      <w:numFmt w:val="bullet"/>
      <w:lvlText w:val="▪"/>
      <w:lvlJc w:val="left"/>
      <w:pPr>
        <w:tabs>
          <w:tab w:val="num" w:pos="2880"/>
        </w:tabs>
        <w:ind w:left="2880" w:hanging="360"/>
      </w:pPr>
      <w:rPr>
        <w:rFonts w:ascii="Noto Sans Symbols" w:hAnsi="Noto Sans Symbols" w:hint="default"/>
      </w:rPr>
    </w:lvl>
    <w:lvl w:ilvl="4" w:tplc="63AAF442" w:tentative="1">
      <w:start w:val="1"/>
      <w:numFmt w:val="bullet"/>
      <w:lvlText w:val="▪"/>
      <w:lvlJc w:val="left"/>
      <w:pPr>
        <w:tabs>
          <w:tab w:val="num" w:pos="3600"/>
        </w:tabs>
        <w:ind w:left="3600" w:hanging="360"/>
      </w:pPr>
      <w:rPr>
        <w:rFonts w:ascii="Noto Sans Symbols" w:hAnsi="Noto Sans Symbols" w:hint="default"/>
      </w:rPr>
    </w:lvl>
    <w:lvl w:ilvl="5" w:tplc="2D42A6F2" w:tentative="1">
      <w:start w:val="1"/>
      <w:numFmt w:val="bullet"/>
      <w:lvlText w:val="▪"/>
      <w:lvlJc w:val="left"/>
      <w:pPr>
        <w:tabs>
          <w:tab w:val="num" w:pos="4320"/>
        </w:tabs>
        <w:ind w:left="4320" w:hanging="360"/>
      </w:pPr>
      <w:rPr>
        <w:rFonts w:ascii="Noto Sans Symbols" w:hAnsi="Noto Sans Symbols" w:hint="default"/>
      </w:rPr>
    </w:lvl>
    <w:lvl w:ilvl="6" w:tplc="35E4DC18" w:tentative="1">
      <w:start w:val="1"/>
      <w:numFmt w:val="bullet"/>
      <w:lvlText w:val="▪"/>
      <w:lvlJc w:val="left"/>
      <w:pPr>
        <w:tabs>
          <w:tab w:val="num" w:pos="5040"/>
        </w:tabs>
        <w:ind w:left="5040" w:hanging="360"/>
      </w:pPr>
      <w:rPr>
        <w:rFonts w:ascii="Noto Sans Symbols" w:hAnsi="Noto Sans Symbols" w:hint="default"/>
      </w:rPr>
    </w:lvl>
    <w:lvl w:ilvl="7" w:tplc="09F075F6" w:tentative="1">
      <w:start w:val="1"/>
      <w:numFmt w:val="bullet"/>
      <w:lvlText w:val="▪"/>
      <w:lvlJc w:val="left"/>
      <w:pPr>
        <w:tabs>
          <w:tab w:val="num" w:pos="5760"/>
        </w:tabs>
        <w:ind w:left="5760" w:hanging="360"/>
      </w:pPr>
      <w:rPr>
        <w:rFonts w:ascii="Noto Sans Symbols" w:hAnsi="Noto Sans Symbols" w:hint="default"/>
      </w:rPr>
    </w:lvl>
    <w:lvl w:ilvl="8" w:tplc="F468CEC4" w:tentative="1">
      <w:start w:val="1"/>
      <w:numFmt w:val="bullet"/>
      <w:lvlText w:val="▪"/>
      <w:lvlJc w:val="left"/>
      <w:pPr>
        <w:tabs>
          <w:tab w:val="num" w:pos="6480"/>
        </w:tabs>
        <w:ind w:left="6480" w:hanging="360"/>
      </w:pPr>
      <w:rPr>
        <w:rFonts w:ascii="Noto Sans Symbols" w:hAnsi="Noto Sans Symbols" w:hint="default"/>
      </w:rPr>
    </w:lvl>
  </w:abstractNum>
  <w:abstractNum w:abstractNumId="15" w15:restartNumberingAfterBreak="0">
    <w:nsid w:val="684855C8"/>
    <w:multiLevelType w:val="hybridMultilevel"/>
    <w:tmpl w:val="1B7EEFD4"/>
    <w:lvl w:ilvl="0" w:tplc="61AA50D2">
      <w:start w:val="1"/>
      <w:numFmt w:val="bullet"/>
      <w:lvlText w:val=""/>
      <w:lvlJc w:val="left"/>
      <w:pPr>
        <w:ind w:left="720" w:hanging="360"/>
      </w:pPr>
      <w:rPr>
        <w:rFonts w:ascii="Symbol" w:hAnsi="Symbol" w:hint="default"/>
      </w:rPr>
    </w:lvl>
    <w:lvl w:ilvl="1" w:tplc="FEFE033E">
      <w:start w:val="1"/>
      <w:numFmt w:val="bullet"/>
      <w:lvlText w:val="o"/>
      <w:lvlJc w:val="left"/>
      <w:pPr>
        <w:ind w:left="1440" w:hanging="360"/>
      </w:pPr>
      <w:rPr>
        <w:rFonts w:ascii="Courier New" w:hAnsi="Courier New" w:hint="default"/>
      </w:rPr>
    </w:lvl>
    <w:lvl w:ilvl="2" w:tplc="D5A6E692">
      <w:start w:val="1"/>
      <w:numFmt w:val="bullet"/>
      <w:lvlText w:val=""/>
      <w:lvlJc w:val="left"/>
      <w:pPr>
        <w:ind w:left="2160" w:hanging="360"/>
      </w:pPr>
      <w:rPr>
        <w:rFonts w:ascii="Wingdings" w:hAnsi="Wingdings" w:hint="default"/>
      </w:rPr>
    </w:lvl>
    <w:lvl w:ilvl="3" w:tplc="00122604">
      <w:start w:val="1"/>
      <w:numFmt w:val="bullet"/>
      <w:lvlText w:val=""/>
      <w:lvlJc w:val="left"/>
      <w:pPr>
        <w:ind w:left="2880" w:hanging="360"/>
      </w:pPr>
      <w:rPr>
        <w:rFonts w:ascii="Symbol" w:hAnsi="Symbol" w:hint="default"/>
      </w:rPr>
    </w:lvl>
    <w:lvl w:ilvl="4" w:tplc="CD5821B4">
      <w:start w:val="1"/>
      <w:numFmt w:val="bullet"/>
      <w:lvlText w:val="o"/>
      <w:lvlJc w:val="left"/>
      <w:pPr>
        <w:ind w:left="3600" w:hanging="360"/>
      </w:pPr>
      <w:rPr>
        <w:rFonts w:ascii="Courier New" w:hAnsi="Courier New" w:hint="default"/>
      </w:rPr>
    </w:lvl>
    <w:lvl w:ilvl="5" w:tplc="5CBC19C0">
      <w:start w:val="1"/>
      <w:numFmt w:val="bullet"/>
      <w:lvlText w:val=""/>
      <w:lvlJc w:val="left"/>
      <w:pPr>
        <w:ind w:left="4320" w:hanging="360"/>
      </w:pPr>
      <w:rPr>
        <w:rFonts w:ascii="Wingdings" w:hAnsi="Wingdings" w:hint="default"/>
      </w:rPr>
    </w:lvl>
    <w:lvl w:ilvl="6" w:tplc="2F4852D0">
      <w:start w:val="1"/>
      <w:numFmt w:val="bullet"/>
      <w:lvlText w:val=""/>
      <w:lvlJc w:val="left"/>
      <w:pPr>
        <w:ind w:left="5040" w:hanging="360"/>
      </w:pPr>
      <w:rPr>
        <w:rFonts w:ascii="Symbol" w:hAnsi="Symbol" w:hint="default"/>
      </w:rPr>
    </w:lvl>
    <w:lvl w:ilvl="7" w:tplc="5FEECA5E">
      <w:start w:val="1"/>
      <w:numFmt w:val="bullet"/>
      <w:lvlText w:val="o"/>
      <w:lvlJc w:val="left"/>
      <w:pPr>
        <w:ind w:left="5760" w:hanging="360"/>
      </w:pPr>
      <w:rPr>
        <w:rFonts w:ascii="Courier New" w:hAnsi="Courier New" w:hint="default"/>
      </w:rPr>
    </w:lvl>
    <w:lvl w:ilvl="8" w:tplc="19006EB4">
      <w:start w:val="1"/>
      <w:numFmt w:val="bullet"/>
      <w:lvlText w:val=""/>
      <w:lvlJc w:val="left"/>
      <w:pPr>
        <w:ind w:left="6480" w:hanging="360"/>
      </w:pPr>
      <w:rPr>
        <w:rFonts w:ascii="Wingdings" w:hAnsi="Wingdings" w:hint="default"/>
      </w:rPr>
    </w:lvl>
  </w:abstractNum>
  <w:abstractNum w:abstractNumId="16" w15:restartNumberingAfterBreak="0">
    <w:nsid w:val="71535CF0"/>
    <w:multiLevelType w:val="hybridMultilevel"/>
    <w:tmpl w:val="7CE03254"/>
    <w:lvl w:ilvl="0" w:tplc="49B07692">
      <w:start w:val="1"/>
      <w:numFmt w:val="bullet"/>
      <w:lvlText w:val="▪"/>
      <w:lvlJc w:val="left"/>
      <w:pPr>
        <w:tabs>
          <w:tab w:val="num" w:pos="720"/>
        </w:tabs>
        <w:ind w:left="720" w:hanging="360"/>
      </w:pPr>
      <w:rPr>
        <w:rFonts w:ascii="Noto Sans Symbols" w:hAnsi="Noto Sans Symbol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460392203">
    <w:abstractNumId w:val="4"/>
  </w:num>
  <w:num w:numId="2" w16cid:durableId="1955668203">
    <w:abstractNumId w:val="3"/>
  </w:num>
  <w:num w:numId="3" w16cid:durableId="1646155475">
    <w:abstractNumId w:val="2"/>
  </w:num>
  <w:num w:numId="4" w16cid:durableId="1964313312">
    <w:abstractNumId w:val="1"/>
  </w:num>
  <w:num w:numId="5" w16cid:durableId="1769620172">
    <w:abstractNumId w:val="0"/>
  </w:num>
  <w:num w:numId="6" w16cid:durableId="1739355926">
    <w:abstractNumId w:val="13"/>
  </w:num>
  <w:num w:numId="7" w16cid:durableId="237398183">
    <w:abstractNumId w:val="5"/>
  </w:num>
  <w:num w:numId="8" w16cid:durableId="997924199">
    <w:abstractNumId w:val="11"/>
  </w:num>
  <w:num w:numId="9" w16cid:durableId="476068097">
    <w:abstractNumId w:val="8"/>
  </w:num>
  <w:num w:numId="10" w16cid:durableId="1710252508">
    <w:abstractNumId w:val="10"/>
  </w:num>
  <w:num w:numId="11" w16cid:durableId="1122118893">
    <w:abstractNumId w:val="12"/>
  </w:num>
  <w:num w:numId="12" w16cid:durableId="1466973506">
    <w:abstractNumId w:val="14"/>
  </w:num>
  <w:num w:numId="13" w16cid:durableId="589236617">
    <w:abstractNumId w:val="16"/>
  </w:num>
  <w:num w:numId="14" w16cid:durableId="1307584622">
    <w:abstractNumId w:val="7"/>
  </w:num>
  <w:num w:numId="15" w16cid:durableId="642199275">
    <w:abstractNumId w:val="6"/>
  </w:num>
  <w:num w:numId="16" w16cid:durableId="1787967093">
    <w:abstractNumId w:val="15"/>
  </w:num>
  <w:num w:numId="17" w16cid:durableId="69338068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270"/>
    <w:rsid w:val="00003CA8"/>
    <w:rsid w:val="00012EB2"/>
    <w:rsid w:val="000146F3"/>
    <w:rsid w:val="000163CC"/>
    <w:rsid w:val="0001767D"/>
    <w:rsid w:val="00021D43"/>
    <w:rsid w:val="000224C0"/>
    <w:rsid w:val="00024CB1"/>
    <w:rsid w:val="00027A86"/>
    <w:rsid w:val="00031360"/>
    <w:rsid w:val="00031881"/>
    <w:rsid w:val="00035B38"/>
    <w:rsid w:val="00037412"/>
    <w:rsid w:val="00040CB9"/>
    <w:rsid w:val="00050130"/>
    <w:rsid w:val="0005376B"/>
    <w:rsid w:val="0005410F"/>
    <w:rsid w:val="000667A8"/>
    <w:rsid w:val="000669C3"/>
    <w:rsid w:val="0006768D"/>
    <w:rsid w:val="00070597"/>
    <w:rsid w:val="00072007"/>
    <w:rsid w:val="000755FE"/>
    <w:rsid w:val="00075B30"/>
    <w:rsid w:val="00076946"/>
    <w:rsid w:val="000774F0"/>
    <w:rsid w:val="00080CFE"/>
    <w:rsid w:val="00081D5F"/>
    <w:rsid w:val="00084822"/>
    <w:rsid w:val="00085779"/>
    <w:rsid w:val="00092830"/>
    <w:rsid w:val="000943AD"/>
    <w:rsid w:val="0009528A"/>
    <w:rsid w:val="000A59AB"/>
    <w:rsid w:val="000B2604"/>
    <w:rsid w:val="000B5838"/>
    <w:rsid w:val="000B5B71"/>
    <w:rsid w:val="000B693D"/>
    <w:rsid w:val="000C0023"/>
    <w:rsid w:val="000C12E7"/>
    <w:rsid w:val="000C50E5"/>
    <w:rsid w:val="000C6324"/>
    <w:rsid w:val="000D379D"/>
    <w:rsid w:val="000E3290"/>
    <w:rsid w:val="000E5EF5"/>
    <w:rsid w:val="000F167C"/>
    <w:rsid w:val="000F29D8"/>
    <w:rsid w:val="000F4622"/>
    <w:rsid w:val="001006AB"/>
    <w:rsid w:val="0010555E"/>
    <w:rsid w:val="00107E17"/>
    <w:rsid w:val="0011498E"/>
    <w:rsid w:val="001238B3"/>
    <w:rsid w:val="00123C72"/>
    <w:rsid w:val="001334DF"/>
    <w:rsid w:val="001346C8"/>
    <w:rsid w:val="001449EB"/>
    <w:rsid w:val="001458CE"/>
    <w:rsid w:val="00154B30"/>
    <w:rsid w:val="001555D2"/>
    <w:rsid w:val="00155E0A"/>
    <w:rsid w:val="00162E99"/>
    <w:rsid w:val="001654F6"/>
    <w:rsid w:val="00167C82"/>
    <w:rsid w:val="00167E6E"/>
    <w:rsid w:val="00170D24"/>
    <w:rsid w:val="00171EFF"/>
    <w:rsid w:val="00173132"/>
    <w:rsid w:val="00180F84"/>
    <w:rsid w:val="00183776"/>
    <w:rsid w:val="0018579E"/>
    <w:rsid w:val="00190BF3"/>
    <w:rsid w:val="00194682"/>
    <w:rsid w:val="00194752"/>
    <w:rsid w:val="001964F4"/>
    <w:rsid w:val="001A0DFB"/>
    <w:rsid w:val="001A13DF"/>
    <w:rsid w:val="001A14D7"/>
    <w:rsid w:val="001A4C11"/>
    <w:rsid w:val="001A4E95"/>
    <w:rsid w:val="001B0595"/>
    <w:rsid w:val="001B1394"/>
    <w:rsid w:val="001B190E"/>
    <w:rsid w:val="001B2AEA"/>
    <w:rsid w:val="001B5A05"/>
    <w:rsid w:val="001C1DD3"/>
    <w:rsid w:val="001C432E"/>
    <w:rsid w:val="001D17D1"/>
    <w:rsid w:val="001D41DE"/>
    <w:rsid w:val="001D694B"/>
    <w:rsid w:val="001E0CF3"/>
    <w:rsid w:val="001E304C"/>
    <w:rsid w:val="001E5ADD"/>
    <w:rsid w:val="001E65F2"/>
    <w:rsid w:val="001F04CE"/>
    <w:rsid w:val="001F1D08"/>
    <w:rsid w:val="001F3776"/>
    <w:rsid w:val="001F5268"/>
    <w:rsid w:val="001F621D"/>
    <w:rsid w:val="001F79BE"/>
    <w:rsid w:val="002036BA"/>
    <w:rsid w:val="00207F33"/>
    <w:rsid w:val="00215EC1"/>
    <w:rsid w:val="0022019D"/>
    <w:rsid w:val="00220CF8"/>
    <w:rsid w:val="00220D0E"/>
    <w:rsid w:val="00220ED5"/>
    <w:rsid w:val="00221E7F"/>
    <w:rsid w:val="00227134"/>
    <w:rsid w:val="00233800"/>
    <w:rsid w:val="00234CAB"/>
    <w:rsid w:val="00236408"/>
    <w:rsid w:val="00237724"/>
    <w:rsid w:val="00237855"/>
    <w:rsid w:val="00240C30"/>
    <w:rsid w:val="00245955"/>
    <w:rsid w:val="00246CA7"/>
    <w:rsid w:val="00250D03"/>
    <w:rsid w:val="00251CE1"/>
    <w:rsid w:val="002522D1"/>
    <w:rsid w:val="00252DAD"/>
    <w:rsid w:val="002560EF"/>
    <w:rsid w:val="002563E3"/>
    <w:rsid w:val="002571A2"/>
    <w:rsid w:val="00265CDA"/>
    <w:rsid w:val="00266C3A"/>
    <w:rsid w:val="0027760D"/>
    <w:rsid w:val="00281C8C"/>
    <w:rsid w:val="00281FBC"/>
    <w:rsid w:val="002834C6"/>
    <w:rsid w:val="0028353A"/>
    <w:rsid w:val="002912ED"/>
    <w:rsid w:val="002946CF"/>
    <w:rsid w:val="00294C43"/>
    <w:rsid w:val="00295AE8"/>
    <w:rsid w:val="002970E5"/>
    <w:rsid w:val="002971AC"/>
    <w:rsid w:val="002A4312"/>
    <w:rsid w:val="002A43D0"/>
    <w:rsid w:val="002B2406"/>
    <w:rsid w:val="002B2A7F"/>
    <w:rsid w:val="002B3877"/>
    <w:rsid w:val="002B626C"/>
    <w:rsid w:val="002B78C3"/>
    <w:rsid w:val="002B7F11"/>
    <w:rsid w:val="002C01EA"/>
    <w:rsid w:val="002C10A7"/>
    <w:rsid w:val="002C2434"/>
    <w:rsid w:val="002C558C"/>
    <w:rsid w:val="002C6C54"/>
    <w:rsid w:val="002C7760"/>
    <w:rsid w:val="002D17E7"/>
    <w:rsid w:val="002D375F"/>
    <w:rsid w:val="002D658A"/>
    <w:rsid w:val="002E0491"/>
    <w:rsid w:val="002E150C"/>
    <w:rsid w:val="002E31E9"/>
    <w:rsid w:val="002F03AA"/>
    <w:rsid w:val="002F0BD8"/>
    <w:rsid w:val="002F1675"/>
    <w:rsid w:val="002F3F01"/>
    <w:rsid w:val="002F4FA1"/>
    <w:rsid w:val="002F6873"/>
    <w:rsid w:val="002F689D"/>
    <w:rsid w:val="002F76A1"/>
    <w:rsid w:val="00302C15"/>
    <w:rsid w:val="00304C43"/>
    <w:rsid w:val="00313654"/>
    <w:rsid w:val="00316CBF"/>
    <w:rsid w:val="00320B62"/>
    <w:rsid w:val="00321F57"/>
    <w:rsid w:val="00322BBE"/>
    <w:rsid w:val="003235FF"/>
    <w:rsid w:val="00323A6B"/>
    <w:rsid w:val="00325FBB"/>
    <w:rsid w:val="00330A74"/>
    <w:rsid w:val="0033329C"/>
    <w:rsid w:val="00333302"/>
    <w:rsid w:val="003333FD"/>
    <w:rsid w:val="00344D24"/>
    <w:rsid w:val="003452B8"/>
    <w:rsid w:val="00346CD3"/>
    <w:rsid w:val="00347C48"/>
    <w:rsid w:val="00350A26"/>
    <w:rsid w:val="00352EFF"/>
    <w:rsid w:val="00357FAC"/>
    <w:rsid w:val="003610F4"/>
    <w:rsid w:val="003619A6"/>
    <w:rsid w:val="00364270"/>
    <w:rsid w:val="00364A98"/>
    <w:rsid w:val="00366ECB"/>
    <w:rsid w:val="00367112"/>
    <w:rsid w:val="00370865"/>
    <w:rsid w:val="00372C26"/>
    <w:rsid w:val="00374D97"/>
    <w:rsid w:val="003753F6"/>
    <w:rsid w:val="00384F5A"/>
    <w:rsid w:val="003854BB"/>
    <w:rsid w:val="003855F3"/>
    <w:rsid w:val="00393C8F"/>
    <w:rsid w:val="00393F06"/>
    <w:rsid w:val="0039574D"/>
    <w:rsid w:val="003A10EE"/>
    <w:rsid w:val="003A1405"/>
    <w:rsid w:val="003A32D7"/>
    <w:rsid w:val="003A3653"/>
    <w:rsid w:val="003A5ED2"/>
    <w:rsid w:val="003A7855"/>
    <w:rsid w:val="003A7A39"/>
    <w:rsid w:val="003B36E2"/>
    <w:rsid w:val="003B37BF"/>
    <w:rsid w:val="003B4968"/>
    <w:rsid w:val="003B498C"/>
    <w:rsid w:val="003B4B2A"/>
    <w:rsid w:val="003B71CB"/>
    <w:rsid w:val="003C0669"/>
    <w:rsid w:val="003C5F05"/>
    <w:rsid w:val="003D196F"/>
    <w:rsid w:val="003D2733"/>
    <w:rsid w:val="003E0AE5"/>
    <w:rsid w:val="003F01A5"/>
    <w:rsid w:val="003F0C1E"/>
    <w:rsid w:val="003F1AF1"/>
    <w:rsid w:val="003F307C"/>
    <w:rsid w:val="003F4527"/>
    <w:rsid w:val="004023F3"/>
    <w:rsid w:val="00404225"/>
    <w:rsid w:val="004069B3"/>
    <w:rsid w:val="00407482"/>
    <w:rsid w:val="0041068A"/>
    <w:rsid w:val="004122E8"/>
    <w:rsid w:val="0041297F"/>
    <w:rsid w:val="00413A73"/>
    <w:rsid w:val="00416D98"/>
    <w:rsid w:val="0042015B"/>
    <w:rsid w:val="00422CB5"/>
    <w:rsid w:val="00423C38"/>
    <w:rsid w:val="00436270"/>
    <w:rsid w:val="00436AE7"/>
    <w:rsid w:val="00441D1F"/>
    <w:rsid w:val="0044547F"/>
    <w:rsid w:val="00450ED5"/>
    <w:rsid w:val="0045276C"/>
    <w:rsid w:val="00460147"/>
    <w:rsid w:val="00460199"/>
    <w:rsid w:val="00461B55"/>
    <w:rsid w:val="00463854"/>
    <w:rsid w:val="004657BF"/>
    <w:rsid w:val="0046767C"/>
    <w:rsid w:val="004758B5"/>
    <w:rsid w:val="00482838"/>
    <w:rsid w:val="00484E0C"/>
    <w:rsid w:val="00485FFA"/>
    <w:rsid w:val="00491F0F"/>
    <w:rsid w:val="0049393B"/>
    <w:rsid w:val="004A6A36"/>
    <w:rsid w:val="004B05C2"/>
    <w:rsid w:val="004B3642"/>
    <w:rsid w:val="004B4F04"/>
    <w:rsid w:val="004B5F2E"/>
    <w:rsid w:val="004B7B17"/>
    <w:rsid w:val="004C06FD"/>
    <w:rsid w:val="004C327F"/>
    <w:rsid w:val="004C4132"/>
    <w:rsid w:val="004C47BD"/>
    <w:rsid w:val="004D6D3B"/>
    <w:rsid w:val="004D73FB"/>
    <w:rsid w:val="004D7B0D"/>
    <w:rsid w:val="004D7D1E"/>
    <w:rsid w:val="004E07F7"/>
    <w:rsid w:val="004E202C"/>
    <w:rsid w:val="004E263D"/>
    <w:rsid w:val="004E42A4"/>
    <w:rsid w:val="004F5A28"/>
    <w:rsid w:val="004F6853"/>
    <w:rsid w:val="005044D3"/>
    <w:rsid w:val="005105AE"/>
    <w:rsid w:val="005119E0"/>
    <w:rsid w:val="00520573"/>
    <w:rsid w:val="005210D0"/>
    <w:rsid w:val="00534393"/>
    <w:rsid w:val="005418C2"/>
    <w:rsid w:val="005432D2"/>
    <w:rsid w:val="00544619"/>
    <w:rsid w:val="00544700"/>
    <w:rsid w:val="0055095A"/>
    <w:rsid w:val="00552CE6"/>
    <w:rsid w:val="00552E92"/>
    <w:rsid w:val="00562EFC"/>
    <w:rsid w:val="0056378E"/>
    <w:rsid w:val="005653D5"/>
    <w:rsid w:val="0056786E"/>
    <w:rsid w:val="00570E96"/>
    <w:rsid w:val="005802A8"/>
    <w:rsid w:val="00591698"/>
    <w:rsid w:val="00594500"/>
    <w:rsid w:val="00597411"/>
    <w:rsid w:val="005A0234"/>
    <w:rsid w:val="005A0BF3"/>
    <w:rsid w:val="005A3772"/>
    <w:rsid w:val="005A712A"/>
    <w:rsid w:val="005B0412"/>
    <w:rsid w:val="005B2E86"/>
    <w:rsid w:val="005C4055"/>
    <w:rsid w:val="005C71A2"/>
    <w:rsid w:val="005D5B2A"/>
    <w:rsid w:val="005E034F"/>
    <w:rsid w:val="005E0425"/>
    <w:rsid w:val="005E1088"/>
    <w:rsid w:val="005E31DF"/>
    <w:rsid w:val="005E4687"/>
    <w:rsid w:val="005E7495"/>
    <w:rsid w:val="005E7645"/>
    <w:rsid w:val="005E7EB3"/>
    <w:rsid w:val="005F044B"/>
    <w:rsid w:val="005F0B5C"/>
    <w:rsid w:val="005F0E87"/>
    <w:rsid w:val="005F5A19"/>
    <w:rsid w:val="005F6C19"/>
    <w:rsid w:val="00603146"/>
    <w:rsid w:val="00607199"/>
    <w:rsid w:val="00607DDE"/>
    <w:rsid w:val="00607F1F"/>
    <w:rsid w:val="00612BC5"/>
    <w:rsid w:val="00615B3A"/>
    <w:rsid w:val="00617ABC"/>
    <w:rsid w:val="006209AD"/>
    <w:rsid w:val="0062270C"/>
    <w:rsid w:val="0062350F"/>
    <w:rsid w:val="006235B6"/>
    <w:rsid w:val="00630380"/>
    <w:rsid w:val="006357CE"/>
    <w:rsid w:val="00636250"/>
    <w:rsid w:val="00637F7B"/>
    <w:rsid w:val="00641802"/>
    <w:rsid w:val="006419AA"/>
    <w:rsid w:val="006466FC"/>
    <w:rsid w:val="0065457B"/>
    <w:rsid w:val="00657190"/>
    <w:rsid w:val="00657F54"/>
    <w:rsid w:val="0066002F"/>
    <w:rsid w:val="00661206"/>
    <w:rsid w:val="00662A47"/>
    <w:rsid w:val="00663E19"/>
    <w:rsid w:val="00664653"/>
    <w:rsid w:val="006655A1"/>
    <w:rsid w:val="00677075"/>
    <w:rsid w:val="006774A8"/>
    <w:rsid w:val="00680526"/>
    <w:rsid w:val="006842DD"/>
    <w:rsid w:val="0068761C"/>
    <w:rsid w:val="006915BE"/>
    <w:rsid w:val="0069546E"/>
    <w:rsid w:val="006B1A54"/>
    <w:rsid w:val="006C181D"/>
    <w:rsid w:val="006C6341"/>
    <w:rsid w:val="006D0AEF"/>
    <w:rsid w:val="006D1B87"/>
    <w:rsid w:val="006D3D94"/>
    <w:rsid w:val="006E3510"/>
    <w:rsid w:val="006E66AD"/>
    <w:rsid w:val="006E7DDB"/>
    <w:rsid w:val="006F2562"/>
    <w:rsid w:val="006F7AB3"/>
    <w:rsid w:val="00700448"/>
    <w:rsid w:val="00702207"/>
    <w:rsid w:val="007057BF"/>
    <w:rsid w:val="00705CA8"/>
    <w:rsid w:val="00706169"/>
    <w:rsid w:val="00706A29"/>
    <w:rsid w:val="00707FA1"/>
    <w:rsid w:val="00710008"/>
    <w:rsid w:val="00710EA8"/>
    <w:rsid w:val="0071137F"/>
    <w:rsid w:val="007136B5"/>
    <w:rsid w:val="00720179"/>
    <w:rsid w:val="00721309"/>
    <w:rsid w:val="00725156"/>
    <w:rsid w:val="00733835"/>
    <w:rsid w:val="00736219"/>
    <w:rsid w:val="00737A1E"/>
    <w:rsid w:val="007411E0"/>
    <w:rsid w:val="00741B34"/>
    <w:rsid w:val="007433F9"/>
    <w:rsid w:val="00751FDE"/>
    <w:rsid w:val="007604FF"/>
    <w:rsid w:val="0076197B"/>
    <w:rsid w:val="00765D01"/>
    <w:rsid w:val="00771FCE"/>
    <w:rsid w:val="00773D70"/>
    <w:rsid w:val="00776F81"/>
    <w:rsid w:val="00781B6E"/>
    <w:rsid w:val="00786446"/>
    <w:rsid w:val="0078685C"/>
    <w:rsid w:val="007906C7"/>
    <w:rsid w:val="007924A0"/>
    <w:rsid w:val="00795E4B"/>
    <w:rsid w:val="007A55AA"/>
    <w:rsid w:val="007A61CB"/>
    <w:rsid w:val="007B08E7"/>
    <w:rsid w:val="007B0D9B"/>
    <w:rsid w:val="007B1BAB"/>
    <w:rsid w:val="007B7441"/>
    <w:rsid w:val="007C5196"/>
    <w:rsid w:val="007C7992"/>
    <w:rsid w:val="007D3CFF"/>
    <w:rsid w:val="007D745F"/>
    <w:rsid w:val="007E0B23"/>
    <w:rsid w:val="007E182D"/>
    <w:rsid w:val="007E5AB7"/>
    <w:rsid w:val="007F2F37"/>
    <w:rsid w:val="007F404E"/>
    <w:rsid w:val="007F59A2"/>
    <w:rsid w:val="0080341D"/>
    <w:rsid w:val="00804BE3"/>
    <w:rsid w:val="008053AF"/>
    <w:rsid w:val="008059DA"/>
    <w:rsid w:val="0080674B"/>
    <w:rsid w:val="00814260"/>
    <w:rsid w:val="00814A15"/>
    <w:rsid w:val="00822A12"/>
    <w:rsid w:val="00823769"/>
    <w:rsid w:val="00831AF1"/>
    <w:rsid w:val="00843DDF"/>
    <w:rsid w:val="008461BA"/>
    <w:rsid w:val="00846499"/>
    <w:rsid w:val="0084704D"/>
    <w:rsid w:val="00850C34"/>
    <w:rsid w:val="00850E2B"/>
    <w:rsid w:val="008622A7"/>
    <w:rsid w:val="00862449"/>
    <w:rsid w:val="00862BD6"/>
    <w:rsid w:val="0086584C"/>
    <w:rsid w:val="00866339"/>
    <w:rsid w:val="00867450"/>
    <w:rsid w:val="00867DC6"/>
    <w:rsid w:val="0087107A"/>
    <w:rsid w:val="00871181"/>
    <w:rsid w:val="00871DFB"/>
    <w:rsid w:val="00872D32"/>
    <w:rsid w:val="00873881"/>
    <w:rsid w:val="00874683"/>
    <w:rsid w:val="00886478"/>
    <w:rsid w:val="00886863"/>
    <w:rsid w:val="00887AEE"/>
    <w:rsid w:val="00887F0D"/>
    <w:rsid w:val="00892A1B"/>
    <w:rsid w:val="00892D67"/>
    <w:rsid w:val="00894617"/>
    <w:rsid w:val="00894CBB"/>
    <w:rsid w:val="008966C4"/>
    <w:rsid w:val="0089712F"/>
    <w:rsid w:val="0089727D"/>
    <w:rsid w:val="008A4478"/>
    <w:rsid w:val="008A6B1A"/>
    <w:rsid w:val="008B2359"/>
    <w:rsid w:val="008B3AA1"/>
    <w:rsid w:val="008B6ACC"/>
    <w:rsid w:val="008C32BB"/>
    <w:rsid w:val="008C5E9A"/>
    <w:rsid w:val="008C6EF6"/>
    <w:rsid w:val="008D0149"/>
    <w:rsid w:val="008D35FB"/>
    <w:rsid w:val="008D3E43"/>
    <w:rsid w:val="008D5849"/>
    <w:rsid w:val="008D625D"/>
    <w:rsid w:val="008D67F2"/>
    <w:rsid w:val="008E33FD"/>
    <w:rsid w:val="008E37EE"/>
    <w:rsid w:val="008E5845"/>
    <w:rsid w:val="008F43A2"/>
    <w:rsid w:val="00905F11"/>
    <w:rsid w:val="0091397D"/>
    <w:rsid w:val="00916B76"/>
    <w:rsid w:val="009174DF"/>
    <w:rsid w:val="00920C33"/>
    <w:rsid w:val="00923B45"/>
    <w:rsid w:val="0092675A"/>
    <w:rsid w:val="00931BE7"/>
    <w:rsid w:val="0094002E"/>
    <w:rsid w:val="00941217"/>
    <w:rsid w:val="00943713"/>
    <w:rsid w:val="00943FEC"/>
    <w:rsid w:val="00944271"/>
    <w:rsid w:val="00947742"/>
    <w:rsid w:val="00954470"/>
    <w:rsid w:val="009553FF"/>
    <w:rsid w:val="009554B8"/>
    <w:rsid w:val="00956459"/>
    <w:rsid w:val="00956563"/>
    <w:rsid w:val="009610F4"/>
    <w:rsid w:val="0096234A"/>
    <w:rsid w:val="00970C60"/>
    <w:rsid w:val="00974117"/>
    <w:rsid w:val="00974A63"/>
    <w:rsid w:val="00977A3F"/>
    <w:rsid w:val="00987B46"/>
    <w:rsid w:val="00990DF7"/>
    <w:rsid w:val="009963FC"/>
    <w:rsid w:val="009B0137"/>
    <w:rsid w:val="009B0D5A"/>
    <w:rsid w:val="009B5419"/>
    <w:rsid w:val="009B55DC"/>
    <w:rsid w:val="009B6297"/>
    <w:rsid w:val="009B7601"/>
    <w:rsid w:val="009C02A7"/>
    <w:rsid w:val="009C50EB"/>
    <w:rsid w:val="009C67BC"/>
    <w:rsid w:val="009D038C"/>
    <w:rsid w:val="009D358C"/>
    <w:rsid w:val="009D422B"/>
    <w:rsid w:val="009D4FDE"/>
    <w:rsid w:val="009D5080"/>
    <w:rsid w:val="009D65CA"/>
    <w:rsid w:val="009D7B04"/>
    <w:rsid w:val="009E17CF"/>
    <w:rsid w:val="009E1ABB"/>
    <w:rsid w:val="009E230F"/>
    <w:rsid w:val="009E3BF7"/>
    <w:rsid w:val="009E5B18"/>
    <w:rsid w:val="009E7F9C"/>
    <w:rsid w:val="009F2EFE"/>
    <w:rsid w:val="009F7507"/>
    <w:rsid w:val="00A00670"/>
    <w:rsid w:val="00A019FA"/>
    <w:rsid w:val="00A0261E"/>
    <w:rsid w:val="00A04C98"/>
    <w:rsid w:val="00A06268"/>
    <w:rsid w:val="00A06CCE"/>
    <w:rsid w:val="00A06FD8"/>
    <w:rsid w:val="00A107AF"/>
    <w:rsid w:val="00A136C7"/>
    <w:rsid w:val="00A14121"/>
    <w:rsid w:val="00A17D6C"/>
    <w:rsid w:val="00A20A2F"/>
    <w:rsid w:val="00A22E7F"/>
    <w:rsid w:val="00A30780"/>
    <w:rsid w:val="00A349F6"/>
    <w:rsid w:val="00A429AE"/>
    <w:rsid w:val="00A43AF3"/>
    <w:rsid w:val="00A50C7B"/>
    <w:rsid w:val="00A51FE1"/>
    <w:rsid w:val="00A530BC"/>
    <w:rsid w:val="00A54490"/>
    <w:rsid w:val="00A544C7"/>
    <w:rsid w:val="00A571F9"/>
    <w:rsid w:val="00A6032A"/>
    <w:rsid w:val="00A63803"/>
    <w:rsid w:val="00A663F7"/>
    <w:rsid w:val="00A66554"/>
    <w:rsid w:val="00A67665"/>
    <w:rsid w:val="00A72B2A"/>
    <w:rsid w:val="00A822DA"/>
    <w:rsid w:val="00A90D51"/>
    <w:rsid w:val="00A91060"/>
    <w:rsid w:val="00A97F9E"/>
    <w:rsid w:val="00AA171A"/>
    <w:rsid w:val="00AA4A5C"/>
    <w:rsid w:val="00AA4EA0"/>
    <w:rsid w:val="00AA5410"/>
    <w:rsid w:val="00AB2C6A"/>
    <w:rsid w:val="00AB4D19"/>
    <w:rsid w:val="00AB6F1C"/>
    <w:rsid w:val="00AB7E5E"/>
    <w:rsid w:val="00AC0886"/>
    <w:rsid w:val="00AC15E4"/>
    <w:rsid w:val="00AC707E"/>
    <w:rsid w:val="00AD698F"/>
    <w:rsid w:val="00AF24FD"/>
    <w:rsid w:val="00AF331B"/>
    <w:rsid w:val="00AF4A89"/>
    <w:rsid w:val="00AF4BD9"/>
    <w:rsid w:val="00B005FA"/>
    <w:rsid w:val="00B01524"/>
    <w:rsid w:val="00B04B27"/>
    <w:rsid w:val="00B13B31"/>
    <w:rsid w:val="00B16B1E"/>
    <w:rsid w:val="00B22DFA"/>
    <w:rsid w:val="00B23E4F"/>
    <w:rsid w:val="00B3388C"/>
    <w:rsid w:val="00B3744D"/>
    <w:rsid w:val="00B41CB5"/>
    <w:rsid w:val="00B453EF"/>
    <w:rsid w:val="00B45FF7"/>
    <w:rsid w:val="00B5217D"/>
    <w:rsid w:val="00B53353"/>
    <w:rsid w:val="00B61CAD"/>
    <w:rsid w:val="00B70341"/>
    <w:rsid w:val="00B71922"/>
    <w:rsid w:val="00B71C68"/>
    <w:rsid w:val="00B8243B"/>
    <w:rsid w:val="00B8387E"/>
    <w:rsid w:val="00B85AAB"/>
    <w:rsid w:val="00B8614B"/>
    <w:rsid w:val="00B91D52"/>
    <w:rsid w:val="00B963DD"/>
    <w:rsid w:val="00B97CAB"/>
    <w:rsid w:val="00BA02A1"/>
    <w:rsid w:val="00BA2BE6"/>
    <w:rsid w:val="00BA4ECC"/>
    <w:rsid w:val="00BB0B7C"/>
    <w:rsid w:val="00BB4E31"/>
    <w:rsid w:val="00BB5037"/>
    <w:rsid w:val="00BC03FA"/>
    <w:rsid w:val="00BD045C"/>
    <w:rsid w:val="00BD2319"/>
    <w:rsid w:val="00BD233E"/>
    <w:rsid w:val="00BD24B6"/>
    <w:rsid w:val="00BD5729"/>
    <w:rsid w:val="00BD6E79"/>
    <w:rsid w:val="00BE4DBC"/>
    <w:rsid w:val="00BE4DEF"/>
    <w:rsid w:val="00BF2233"/>
    <w:rsid w:val="00BF2D7D"/>
    <w:rsid w:val="00BF343F"/>
    <w:rsid w:val="00C0445C"/>
    <w:rsid w:val="00C071F1"/>
    <w:rsid w:val="00C106FD"/>
    <w:rsid w:val="00C12667"/>
    <w:rsid w:val="00C14480"/>
    <w:rsid w:val="00C2113F"/>
    <w:rsid w:val="00C217B6"/>
    <w:rsid w:val="00C21E0C"/>
    <w:rsid w:val="00C22CFB"/>
    <w:rsid w:val="00C22D06"/>
    <w:rsid w:val="00C239E7"/>
    <w:rsid w:val="00C25426"/>
    <w:rsid w:val="00C31AFB"/>
    <w:rsid w:val="00C33C31"/>
    <w:rsid w:val="00C34185"/>
    <w:rsid w:val="00C353CB"/>
    <w:rsid w:val="00C35F07"/>
    <w:rsid w:val="00C42484"/>
    <w:rsid w:val="00C43B9F"/>
    <w:rsid w:val="00C43C79"/>
    <w:rsid w:val="00C446C8"/>
    <w:rsid w:val="00C47C2D"/>
    <w:rsid w:val="00C51A97"/>
    <w:rsid w:val="00C532AD"/>
    <w:rsid w:val="00C73CA4"/>
    <w:rsid w:val="00C73DFF"/>
    <w:rsid w:val="00C73E44"/>
    <w:rsid w:val="00C74EC6"/>
    <w:rsid w:val="00C766B2"/>
    <w:rsid w:val="00C76E4F"/>
    <w:rsid w:val="00C810A0"/>
    <w:rsid w:val="00C838D6"/>
    <w:rsid w:val="00C83DBC"/>
    <w:rsid w:val="00C84FC1"/>
    <w:rsid w:val="00C853DE"/>
    <w:rsid w:val="00C854A6"/>
    <w:rsid w:val="00C87494"/>
    <w:rsid w:val="00C90203"/>
    <w:rsid w:val="00C92968"/>
    <w:rsid w:val="00C9340E"/>
    <w:rsid w:val="00CA0B1F"/>
    <w:rsid w:val="00CA3A13"/>
    <w:rsid w:val="00CB5B67"/>
    <w:rsid w:val="00CB6E5D"/>
    <w:rsid w:val="00CC16BE"/>
    <w:rsid w:val="00CC4DA3"/>
    <w:rsid w:val="00CC776E"/>
    <w:rsid w:val="00CC7EB4"/>
    <w:rsid w:val="00CD6894"/>
    <w:rsid w:val="00CE3434"/>
    <w:rsid w:val="00CF03BE"/>
    <w:rsid w:val="00CF0AB4"/>
    <w:rsid w:val="00CF3F0A"/>
    <w:rsid w:val="00CF662F"/>
    <w:rsid w:val="00CF768A"/>
    <w:rsid w:val="00D00050"/>
    <w:rsid w:val="00D00384"/>
    <w:rsid w:val="00D02E21"/>
    <w:rsid w:val="00D0759D"/>
    <w:rsid w:val="00D1218F"/>
    <w:rsid w:val="00D153B7"/>
    <w:rsid w:val="00D20535"/>
    <w:rsid w:val="00D20749"/>
    <w:rsid w:val="00D24CEF"/>
    <w:rsid w:val="00D30707"/>
    <w:rsid w:val="00D34D3E"/>
    <w:rsid w:val="00D3613C"/>
    <w:rsid w:val="00D36869"/>
    <w:rsid w:val="00D370E1"/>
    <w:rsid w:val="00D37BE5"/>
    <w:rsid w:val="00D37C9D"/>
    <w:rsid w:val="00D4023B"/>
    <w:rsid w:val="00D4589E"/>
    <w:rsid w:val="00D509D9"/>
    <w:rsid w:val="00D53CDB"/>
    <w:rsid w:val="00D54FAA"/>
    <w:rsid w:val="00D566CF"/>
    <w:rsid w:val="00D653D2"/>
    <w:rsid w:val="00D70D49"/>
    <w:rsid w:val="00D715D5"/>
    <w:rsid w:val="00D73B09"/>
    <w:rsid w:val="00D754EA"/>
    <w:rsid w:val="00D8073E"/>
    <w:rsid w:val="00D82252"/>
    <w:rsid w:val="00D842DC"/>
    <w:rsid w:val="00D84FB1"/>
    <w:rsid w:val="00DA2CA6"/>
    <w:rsid w:val="00DA6495"/>
    <w:rsid w:val="00DA7ED2"/>
    <w:rsid w:val="00DB43C5"/>
    <w:rsid w:val="00DB68A3"/>
    <w:rsid w:val="00DC2B5B"/>
    <w:rsid w:val="00DC4AE0"/>
    <w:rsid w:val="00DC5E98"/>
    <w:rsid w:val="00DC6A03"/>
    <w:rsid w:val="00DC6B24"/>
    <w:rsid w:val="00DD2352"/>
    <w:rsid w:val="00DD43AC"/>
    <w:rsid w:val="00DD655F"/>
    <w:rsid w:val="00DD7BC4"/>
    <w:rsid w:val="00DE3D43"/>
    <w:rsid w:val="00DE40FB"/>
    <w:rsid w:val="00DE505E"/>
    <w:rsid w:val="00DE68B3"/>
    <w:rsid w:val="00DF25C5"/>
    <w:rsid w:val="00DF2DB8"/>
    <w:rsid w:val="00E02C70"/>
    <w:rsid w:val="00E058DF"/>
    <w:rsid w:val="00E07719"/>
    <w:rsid w:val="00E142FA"/>
    <w:rsid w:val="00E149B8"/>
    <w:rsid w:val="00E15108"/>
    <w:rsid w:val="00E20CE8"/>
    <w:rsid w:val="00E21088"/>
    <w:rsid w:val="00E21C01"/>
    <w:rsid w:val="00E237E0"/>
    <w:rsid w:val="00E25147"/>
    <w:rsid w:val="00E2629B"/>
    <w:rsid w:val="00E30C8F"/>
    <w:rsid w:val="00E31014"/>
    <w:rsid w:val="00E3389D"/>
    <w:rsid w:val="00E3624D"/>
    <w:rsid w:val="00E42AB2"/>
    <w:rsid w:val="00E436F7"/>
    <w:rsid w:val="00E44413"/>
    <w:rsid w:val="00E45F84"/>
    <w:rsid w:val="00E470B2"/>
    <w:rsid w:val="00E518E0"/>
    <w:rsid w:val="00E53BFA"/>
    <w:rsid w:val="00E56ACC"/>
    <w:rsid w:val="00E63C17"/>
    <w:rsid w:val="00E63D07"/>
    <w:rsid w:val="00E640AC"/>
    <w:rsid w:val="00E640FC"/>
    <w:rsid w:val="00E64FCC"/>
    <w:rsid w:val="00E67674"/>
    <w:rsid w:val="00E67B23"/>
    <w:rsid w:val="00E733C4"/>
    <w:rsid w:val="00E7549F"/>
    <w:rsid w:val="00E7686F"/>
    <w:rsid w:val="00E77450"/>
    <w:rsid w:val="00E776D6"/>
    <w:rsid w:val="00E80984"/>
    <w:rsid w:val="00E85069"/>
    <w:rsid w:val="00E854C8"/>
    <w:rsid w:val="00E8766B"/>
    <w:rsid w:val="00E900AE"/>
    <w:rsid w:val="00E90A1A"/>
    <w:rsid w:val="00E90C6C"/>
    <w:rsid w:val="00E920FC"/>
    <w:rsid w:val="00E93382"/>
    <w:rsid w:val="00E94837"/>
    <w:rsid w:val="00E96FD9"/>
    <w:rsid w:val="00EA1B11"/>
    <w:rsid w:val="00EA3C31"/>
    <w:rsid w:val="00EA6495"/>
    <w:rsid w:val="00EB03C4"/>
    <w:rsid w:val="00EB09DC"/>
    <w:rsid w:val="00EB0F8D"/>
    <w:rsid w:val="00EB2C0C"/>
    <w:rsid w:val="00EB4AD4"/>
    <w:rsid w:val="00EB5E89"/>
    <w:rsid w:val="00EC386D"/>
    <w:rsid w:val="00EC57F3"/>
    <w:rsid w:val="00EC6294"/>
    <w:rsid w:val="00ED253A"/>
    <w:rsid w:val="00ED5C71"/>
    <w:rsid w:val="00ED6BFD"/>
    <w:rsid w:val="00EF0367"/>
    <w:rsid w:val="00EF2C3F"/>
    <w:rsid w:val="00EF40B4"/>
    <w:rsid w:val="00EF743F"/>
    <w:rsid w:val="00EF75A8"/>
    <w:rsid w:val="00F00112"/>
    <w:rsid w:val="00F00630"/>
    <w:rsid w:val="00F07744"/>
    <w:rsid w:val="00F1053F"/>
    <w:rsid w:val="00F12A59"/>
    <w:rsid w:val="00F1771B"/>
    <w:rsid w:val="00F20A2B"/>
    <w:rsid w:val="00F2335B"/>
    <w:rsid w:val="00F25F94"/>
    <w:rsid w:val="00F2683B"/>
    <w:rsid w:val="00F26C5D"/>
    <w:rsid w:val="00F32C6C"/>
    <w:rsid w:val="00F33CCA"/>
    <w:rsid w:val="00F3411E"/>
    <w:rsid w:val="00F35BDA"/>
    <w:rsid w:val="00F45AEF"/>
    <w:rsid w:val="00F50D3B"/>
    <w:rsid w:val="00F53547"/>
    <w:rsid w:val="00F553E7"/>
    <w:rsid w:val="00F61DB8"/>
    <w:rsid w:val="00F621F9"/>
    <w:rsid w:val="00F63C66"/>
    <w:rsid w:val="00F652F7"/>
    <w:rsid w:val="00F662D0"/>
    <w:rsid w:val="00F76839"/>
    <w:rsid w:val="00F76FB4"/>
    <w:rsid w:val="00F806F5"/>
    <w:rsid w:val="00F807AE"/>
    <w:rsid w:val="00F81261"/>
    <w:rsid w:val="00F81D26"/>
    <w:rsid w:val="00F87996"/>
    <w:rsid w:val="00F914A7"/>
    <w:rsid w:val="00F91CB1"/>
    <w:rsid w:val="00F92D63"/>
    <w:rsid w:val="00F9474D"/>
    <w:rsid w:val="00FA25BA"/>
    <w:rsid w:val="00FA3AB9"/>
    <w:rsid w:val="00FA42EB"/>
    <w:rsid w:val="00FA7F0B"/>
    <w:rsid w:val="00FB1F36"/>
    <w:rsid w:val="00FD24CE"/>
    <w:rsid w:val="00FD620C"/>
    <w:rsid w:val="00FE20D0"/>
    <w:rsid w:val="00FF0466"/>
    <w:rsid w:val="00FF126A"/>
    <w:rsid w:val="00FF27AD"/>
    <w:rsid w:val="00FF5412"/>
    <w:rsid w:val="00FF79C3"/>
    <w:rsid w:val="3CFBEF0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997D65"/>
  <w14:defaultImageDpi w14:val="330"/>
  <w15:chartTrackingRefBased/>
  <w15:docId w15:val="{6751C5B3-01C8-42CD-8EEC-EEDC675E4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E505E"/>
    <w:pPr>
      <w:spacing w:before="60" w:after="60" w:line="276" w:lineRule="auto"/>
      <w:jc w:val="both"/>
    </w:pPr>
    <w:rPr>
      <w:lang w:val="en-US"/>
    </w:rPr>
  </w:style>
  <w:style w:type="paragraph" w:styleId="Heading1">
    <w:name w:val="heading 1"/>
    <w:basedOn w:val="Normal"/>
    <w:next w:val="Normal"/>
    <w:link w:val="Heading1Char"/>
    <w:uiPriority w:val="2"/>
    <w:qFormat/>
    <w:rsid w:val="00A019FA"/>
    <w:pPr>
      <w:keepNext/>
      <w:keepLines/>
      <w:spacing w:before="400" w:line="264" w:lineRule="auto"/>
      <w:outlineLvl w:val="0"/>
    </w:pPr>
    <w:rPr>
      <w:rFonts w:asciiTheme="majorHAnsi" w:eastAsiaTheme="majorEastAsia" w:hAnsiTheme="majorHAnsi" w:cstheme="majorBidi"/>
      <w:color w:val="1A1A1A" w:themeColor="accent1" w:themeShade="BF"/>
      <w:sz w:val="40"/>
      <w:szCs w:val="32"/>
    </w:rPr>
  </w:style>
  <w:style w:type="paragraph" w:styleId="Heading2">
    <w:name w:val="heading 2"/>
    <w:basedOn w:val="Heading1"/>
    <w:next w:val="Normal"/>
    <w:link w:val="Heading2Char"/>
    <w:uiPriority w:val="2"/>
    <w:qFormat/>
    <w:rsid w:val="00A019FA"/>
    <w:pPr>
      <w:spacing w:before="200" w:after="120"/>
      <w:outlineLvl w:val="1"/>
    </w:pPr>
    <w:rPr>
      <w:sz w:val="28"/>
      <w:szCs w:val="26"/>
    </w:rPr>
  </w:style>
  <w:style w:type="paragraph" w:styleId="Heading3">
    <w:name w:val="heading 3"/>
    <w:basedOn w:val="Normal"/>
    <w:next w:val="Normal"/>
    <w:link w:val="Heading3Char"/>
    <w:uiPriority w:val="2"/>
    <w:qFormat/>
    <w:rsid w:val="00A019FA"/>
    <w:pPr>
      <w:keepNext/>
      <w:keepLines/>
      <w:spacing w:before="160" w:after="120"/>
      <w:outlineLvl w:val="2"/>
    </w:pPr>
    <w:rPr>
      <w:rFonts w:asciiTheme="majorHAnsi" w:eastAsiaTheme="majorEastAsia" w:hAnsiTheme="majorHAnsi" w:cstheme="majorBidi"/>
      <w:color w:val="111111" w:themeColor="accent1" w:themeShade="7F"/>
      <w:sz w:val="24"/>
      <w:szCs w:val="24"/>
    </w:rPr>
  </w:style>
  <w:style w:type="paragraph" w:styleId="Heading4">
    <w:name w:val="heading 4"/>
    <w:basedOn w:val="Normal"/>
    <w:next w:val="Normal"/>
    <w:link w:val="Heading4Char"/>
    <w:uiPriority w:val="2"/>
    <w:unhideWhenUsed/>
    <w:qFormat/>
    <w:rsid w:val="00A019FA"/>
    <w:pPr>
      <w:keepNext/>
      <w:keepLines/>
      <w:spacing w:before="40" w:after="0"/>
      <w:outlineLvl w:val="3"/>
    </w:pPr>
    <w:rPr>
      <w:rFonts w:asciiTheme="majorHAnsi" w:eastAsiaTheme="majorEastAsia" w:hAnsiTheme="majorHAnsi" w:cstheme="majorBidi"/>
      <w:iCs/>
      <w:color w:val="1A1A1A" w:themeColor="accent1" w:themeShade="BF"/>
    </w:rPr>
  </w:style>
  <w:style w:type="paragraph" w:styleId="Heading5">
    <w:name w:val="heading 5"/>
    <w:basedOn w:val="Normal"/>
    <w:next w:val="Normal"/>
    <w:link w:val="Heading5Char"/>
    <w:uiPriority w:val="2"/>
    <w:unhideWhenUsed/>
    <w:qFormat/>
    <w:rsid w:val="006774A8"/>
    <w:pPr>
      <w:keepNext/>
      <w:keepLines/>
      <w:spacing w:before="40" w:after="0"/>
      <w:outlineLvl w:val="4"/>
    </w:pPr>
    <w:rPr>
      <w:rFonts w:asciiTheme="majorHAnsi" w:eastAsiaTheme="majorEastAsia" w:hAnsiTheme="majorHAnsi" w:cstheme="majorBidi"/>
      <w:color w:val="82009B" w:themeColor="accent6"/>
    </w:rPr>
  </w:style>
  <w:style w:type="paragraph" w:styleId="Heading6">
    <w:name w:val="heading 6"/>
    <w:basedOn w:val="Normal"/>
    <w:next w:val="Normal"/>
    <w:link w:val="Heading6Char"/>
    <w:uiPriority w:val="2"/>
    <w:unhideWhenUsed/>
    <w:qFormat/>
    <w:rsid w:val="00A019FA"/>
    <w:pPr>
      <w:keepNext/>
      <w:keepLines/>
      <w:spacing w:before="40" w:after="0"/>
      <w:outlineLvl w:val="5"/>
    </w:pPr>
    <w:rPr>
      <w:rFonts w:asciiTheme="majorHAnsi" w:eastAsiaTheme="majorEastAsia" w:hAnsiTheme="majorHAnsi" w:cstheme="majorBidi"/>
      <w:color w:val="3CEB9D" w:themeColor="accent5"/>
    </w:rPr>
  </w:style>
  <w:style w:type="paragraph" w:styleId="Heading7">
    <w:name w:val="heading 7"/>
    <w:basedOn w:val="Normal"/>
    <w:next w:val="Normal"/>
    <w:link w:val="Heading7Char"/>
    <w:uiPriority w:val="2"/>
    <w:unhideWhenUsed/>
    <w:qFormat/>
    <w:rsid w:val="00E80984"/>
    <w:pPr>
      <w:keepNext/>
      <w:keepLines/>
      <w:spacing w:before="40" w:after="0"/>
      <w:outlineLvl w:val="6"/>
    </w:pPr>
    <w:rPr>
      <w:rFonts w:asciiTheme="majorHAnsi" w:eastAsiaTheme="majorEastAsia" w:hAnsiTheme="majorHAnsi" w:cstheme="majorBidi"/>
      <w:iCs/>
      <w:color w:val="ACAEAC" w:themeColor="accent2"/>
    </w:rPr>
  </w:style>
  <w:style w:type="paragraph" w:styleId="Heading8">
    <w:name w:val="heading 8"/>
    <w:basedOn w:val="Normal"/>
    <w:next w:val="Normal"/>
    <w:link w:val="Heading8Char"/>
    <w:uiPriority w:val="2"/>
    <w:semiHidden/>
    <w:unhideWhenUsed/>
    <w:qFormat/>
    <w:rsid w:val="00E80984"/>
    <w:pPr>
      <w:keepNext/>
      <w:keepLines/>
      <w:spacing w:before="40" w:after="0"/>
      <w:outlineLvl w:val="7"/>
    </w:pPr>
    <w:rPr>
      <w:rFonts w:asciiTheme="majorHAnsi" w:eastAsiaTheme="majorEastAsia" w:hAnsiTheme="majorHAnsi" w:cstheme="majorBidi"/>
      <w:color w:val="E6E6E6" w:themeColor="accent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707FA1"/>
    <w:rPr>
      <w:rFonts w:asciiTheme="majorHAnsi" w:eastAsiaTheme="majorEastAsia" w:hAnsiTheme="majorHAnsi" w:cstheme="majorBidi"/>
      <w:color w:val="1A1A1A" w:themeColor="accent1" w:themeShade="BF"/>
      <w:sz w:val="40"/>
      <w:szCs w:val="32"/>
      <w:lang w:val="en-US"/>
    </w:rPr>
  </w:style>
  <w:style w:type="character" w:customStyle="1" w:styleId="Heading2Char">
    <w:name w:val="Heading 2 Char"/>
    <w:basedOn w:val="DefaultParagraphFont"/>
    <w:link w:val="Heading2"/>
    <w:uiPriority w:val="2"/>
    <w:rsid w:val="00707FA1"/>
    <w:rPr>
      <w:rFonts w:asciiTheme="majorHAnsi" w:eastAsiaTheme="majorEastAsia" w:hAnsiTheme="majorHAnsi" w:cstheme="majorBidi"/>
      <w:color w:val="1A1A1A" w:themeColor="accent1" w:themeShade="BF"/>
      <w:sz w:val="28"/>
      <w:szCs w:val="26"/>
      <w:lang w:val="en-US"/>
    </w:rPr>
  </w:style>
  <w:style w:type="character" w:customStyle="1" w:styleId="Heading3Char">
    <w:name w:val="Heading 3 Char"/>
    <w:basedOn w:val="DefaultParagraphFont"/>
    <w:link w:val="Heading3"/>
    <w:uiPriority w:val="2"/>
    <w:rsid w:val="00707FA1"/>
    <w:rPr>
      <w:rFonts w:asciiTheme="majorHAnsi" w:eastAsiaTheme="majorEastAsia" w:hAnsiTheme="majorHAnsi" w:cstheme="majorBidi"/>
      <w:color w:val="111111" w:themeColor="accent1" w:themeShade="7F"/>
      <w:sz w:val="24"/>
      <w:szCs w:val="24"/>
      <w:lang w:val="en-US"/>
    </w:rPr>
  </w:style>
  <w:style w:type="character" w:customStyle="1" w:styleId="Heading4Char">
    <w:name w:val="Heading 4 Char"/>
    <w:basedOn w:val="DefaultParagraphFont"/>
    <w:link w:val="Heading4"/>
    <w:uiPriority w:val="2"/>
    <w:rsid w:val="00707FA1"/>
    <w:rPr>
      <w:rFonts w:asciiTheme="majorHAnsi" w:eastAsiaTheme="majorEastAsia" w:hAnsiTheme="majorHAnsi" w:cstheme="majorBidi"/>
      <w:iCs/>
      <w:color w:val="1A1A1A" w:themeColor="accent1" w:themeShade="BF"/>
      <w:lang w:val="en-US"/>
    </w:rPr>
  </w:style>
  <w:style w:type="character" w:customStyle="1" w:styleId="Heading5Char">
    <w:name w:val="Heading 5 Char"/>
    <w:basedOn w:val="DefaultParagraphFont"/>
    <w:link w:val="Heading5"/>
    <w:uiPriority w:val="2"/>
    <w:rsid w:val="00707FA1"/>
    <w:rPr>
      <w:rFonts w:asciiTheme="majorHAnsi" w:eastAsiaTheme="majorEastAsia" w:hAnsiTheme="majorHAnsi" w:cstheme="majorBidi"/>
      <w:color w:val="82009B" w:themeColor="accent6"/>
      <w:lang w:val="en-US"/>
    </w:rPr>
  </w:style>
  <w:style w:type="character" w:customStyle="1" w:styleId="Heading6Char">
    <w:name w:val="Heading 6 Char"/>
    <w:basedOn w:val="DefaultParagraphFont"/>
    <w:link w:val="Heading6"/>
    <w:uiPriority w:val="2"/>
    <w:rsid w:val="00707FA1"/>
    <w:rPr>
      <w:rFonts w:asciiTheme="majorHAnsi" w:eastAsiaTheme="majorEastAsia" w:hAnsiTheme="majorHAnsi" w:cstheme="majorBidi"/>
      <w:color w:val="3CEB9D" w:themeColor="accent5"/>
      <w:lang w:val="en-US"/>
    </w:rPr>
  </w:style>
  <w:style w:type="paragraph" w:styleId="Title">
    <w:name w:val="Title"/>
    <w:basedOn w:val="Normal"/>
    <w:next w:val="Normal"/>
    <w:link w:val="TitleChar"/>
    <w:uiPriority w:val="10"/>
    <w:qFormat/>
    <w:rsid w:val="00F53547"/>
    <w:pPr>
      <w:spacing w:after="0" w:line="240" w:lineRule="auto"/>
      <w:contextualSpacing/>
    </w:pPr>
    <w:rPr>
      <w:rFonts w:asciiTheme="majorHAnsi" w:eastAsiaTheme="majorEastAsia" w:hAnsiTheme="majorHAnsi" w:cstheme="majorBidi"/>
      <w:b/>
      <w:kern w:val="28"/>
      <w:sz w:val="64"/>
      <w:szCs w:val="56"/>
    </w:rPr>
  </w:style>
  <w:style w:type="character" w:customStyle="1" w:styleId="TitleChar">
    <w:name w:val="Title Char"/>
    <w:basedOn w:val="DefaultParagraphFont"/>
    <w:link w:val="Title"/>
    <w:uiPriority w:val="10"/>
    <w:rsid w:val="00F53547"/>
    <w:rPr>
      <w:rFonts w:asciiTheme="majorHAnsi" w:eastAsiaTheme="majorEastAsia" w:hAnsiTheme="majorHAnsi" w:cstheme="majorBidi"/>
      <w:b/>
      <w:kern w:val="28"/>
      <w:sz w:val="64"/>
      <w:szCs w:val="56"/>
    </w:rPr>
  </w:style>
  <w:style w:type="paragraph" w:styleId="Subtitle">
    <w:name w:val="Subtitle"/>
    <w:basedOn w:val="Normal"/>
    <w:next w:val="Normal"/>
    <w:link w:val="SubtitleChar"/>
    <w:uiPriority w:val="11"/>
    <w:qFormat/>
    <w:rsid w:val="00BD2319"/>
    <w:pPr>
      <w:numPr>
        <w:ilvl w:val="1"/>
      </w:numPr>
      <w:spacing w:before="240" w:after="240"/>
    </w:pPr>
    <w:rPr>
      <w:rFonts w:eastAsiaTheme="minorEastAsia"/>
      <w:color w:val="ACAEAC" w:themeColor="accent2"/>
      <w:sz w:val="40"/>
    </w:rPr>
  </w:style>
  <w:style w:type="character" w:customStyle="1" w:styleId="SubtitleChar">
    <w:name w:val="Subtitle Char"/>
    <w:basedOn w:val="DefaultParagraphFont"/>
    <w:link w:val="Subtitle"/>
    <w:uiPriority w:val="11"/>
    <w:rsid w:val="00BD2319"/>
    <w:rPr>
      <w:rFonts w:eastAsiaTheme="minorEastAsia"/>
      <w:color w:val="ACAEAC" w:themeColor="accent2"/>
      <w:sz w:val="40"/>
    </w:rPr>
  </w:style>
  <w:style w:type="character" w:styleId="BookTitle">
    <w:name w:val="Book Title"/>
    <w:basedOn w:val="DefaultParagraphFont"/>
    <w:uiPriority w:val="33"/>
    <w:semiHidden/>
    <w:qFormat/>
    <w:rsid w:val="0056786E"/>
    <w:rPr>
      <w:b/>
      <w:bCs/>
      <w:i/>
      <w:iCs/>
      <w:spacing w:val="5"/>
    </w:rPr>
  </w:style>
  <w:style w:type="paragraph" w:styleId="TOCHeading">
    <w:name w:val="TOC Heading"/>
    <w:basedOn w:val="Heading1"/>
    <w:next w:val="Normal"/>
    <w:uiPriority w:val="39"/>
    <w:semiHidden/>
    <w:qFormat/>
    <w:rsid w:val="003619A6"/>
    <w:pPr>
      <w:outlineLvl w:val="9"/>
    </w:pPr>
    <w:rPr>
      <w:color w:val="232323" w:themeColor="accent1"/>
      <w:kern w:val="0"/>
      <w:sz w:val="72"/>
      <w14:ligatures w14:val="none"/>
    </w:rPr>
  </w:style>
  <w:style w:type="paragraph" w:styleId="TOC1">
    <w:name w:val="toc 1"/>
    <w:basedOn w:val="Normal"/>
    <w:next w:val="Normal"/>
    <w:autoRedefine/>
    <w:uiPriority w:val="39"/>
    <w:rsid w:val="00D653D2"/>
    <w:pPr>
      <w:tabs>
        <w:tab w:val="left" w:pos="397"/>
        <w:tab w:val="right" w:leader="dot" w:pos="10252"/>
      </w:tabs>
      <w:spacing w:before="240" w:after="100"/>
      <w:ind w:left="57" w:firstLine="57"/>
    </w:pPr>
  </w:style>
  <w:style w:type="paragraph" w:styleId="TOC2">
    <w:name w:val="toc 2"/>
    <w:basedOn w:val="Normal"/>
    <w:next w:val="Normal"/>
    <w:autoRedefine/>
    <w:uiPriority w:val="39"/>
    <w:rsid w:val="00D653D2"/>
    <w:pPr>
      <w:spacing w:after="100"/>
      <w:ind w:left="340" w:firstLine="340"/>
    </w:pPr>
  </w:style>
  <w:style w:type="paragraph" w:styleId="TOC3">
    <w:name w:val="toc 3"/>
    <w:basedOn w:val="Normal"/>
    <w:next w:val="Normal"/>
    <w:autoRedefine/>
    <w:uiPriority w:val="39"/>
    <w:rsid w:val="00D653D2"/>
    <w:pPr>
      <w:spacing w:after="100"/>
      <w:ind w:left="1361" w:hanging="340"/>
    </w:pPr>
  </w:style>
  <w:style w:type="character" w:styleId="Hyperlink">
    <w:name w:val="Hyperlink"/>
    <w:basedOn w:val="DefaultParagraphFont"/>
    <w:uiPriority w:val="99"/>
    <w:rsid w:val="0056786E"/>
    <w:rPr>
      <w:color w:val="82009B" w:themeColor="hyperlink"/>
      <w:u w:val="single"/>
    </w:rPr>
  </w:style>
  <w:style w:type="character" w:styleId="Strong">
    <w:name w:val="Strong"/>
    <w:basedOn w:val="DefaultParagraphFont"/>
    <w:uiPriority w:val="22"/>
    <w:qFormat/>
    <w:rsid w:val="0089712F"/>
    <w:rPr>
      <w:b/>
      <w:bCs/>
    </w:rPr>
  </w:style>
  <w:style w:type="character" w:styleId="Emphasis">
    <w:name w:val="Emphasis"/>
    <w:basedOn w:val="DefaultParagraphFont"/>
    <w:uiPriority w:val="20"/>
    <w:qFormat/>
    <w:rsid w:val="0089712F"/>
    <w:rPr>
      <w:i/>
      <w:iCs/>
    </w:rPr>
  </w:style>
  <w:style w:type="character" w:customStyle="1" w:styleId="YellowText">
    <w:name w:val="Yellow Text"/>
    <w:basedOn w:val="DefaultParagraphFont"/>
    <w:uiPriority w:val="4"/>
    <w:qFormat/>
    <w:rsid w:val="0089712F"/>
    <w:rPr>
      <w:color w:val="EBFE41" w:themeColor="accent4"/>
    </w:rPr>
  </w:style>
  <w:style w:type="paragraph" w:customStyle="1" w:styleId="DarkBlock">
    <w:name w:val="Dark Block"/>
    <w:basedOn w:val="Normal"/>
    <w:link w:val="DarkBlockChar"/>
    <w:uiPriority w:val="14"/>
    <w:qFormat/>
    <w:rsid w:val="001F1D08"/>
    <w:pPr>
      <w:pBdr>
        <w:top w:val="single" w:sz="48" w:space="31" w:color="232323" w:themeColor="text2"/>
        <w:left w:val="single" w:sz="48" w:space="31" w:color="232323" w:themeColor="text2"/>
        <w:bottom w:val="single" w:sz="48" w:space="31" w:color="232323" w:themeColor="text2"/>
        <w:right w:val="single" w:sz="48" w:space="31" w:color="232323" w:themeColor="text2"/>
      </w:pBdr>
      <w:shd w:val="clear" w:color="auto" w:fill="232323" w:themeFill="text2"/>
      <w:ind w:left="-68" w:right="-68"/>
    </w:pPr>
    <w:rPr>
      <w:rFonts w:asciiTheme="majorHAnsi" w:hAnsiTheme="majorHAnsi"/>
      <w:color w:val="FEFEFE" w:themeColor="background1"/>
      <w:sz w:val="56"/>
    </w:rPr>
  </w:style>
  <w:style w:type="paragraph" w:styleId="NoSpacing">
    <w:name w:val="No Spacing"/>
    <w:link w:val="NoSpacingChar"/>
    <w:uiPriority w:val="1"/>
    <w:qFormat/>
    <w:rsid w:val="009174DF"/>
    <w:pPr>
      <w:spacing w:after="0" w:line="240" w:lineRule="auto"/>
    </w:pPr>
  </w:style>
  <w:style w:type="paragraph" w:styleId="Header">
    <w:name w:val="header"/>
    <w:basedOn w:val="Normal"/>
    <w:link w:val="HeaderChar"/>
    <w:uiPriority w:val="99"/>
    <w:semiHidden/>
    <w:rsid w:val="00F00630"/>
    <w:pPr>
      <w:tabs>
        <w:tab w:val="center" w:pos="4513"/>
        <w:tab w:val="right" w:pos="9026"/>
      </w:tabs>
      <w:spacing w:before="40" w:after="40" w:line="240" w:lineRule="auto"/>
      <w:jc w:val="right"/>
    </w:pPr>
    <w:rPr>
      <w:color w:val="909090" w:themeColor="text1" w:themeTint="80"/>
      <w:sz w:val="19"/>
    </w:rPr>
  </w:style>
  <w:style w:type="character" w:customStyle="1" w:styleId="HeaderChar">
    <w:name w:val="Header Char"/>
    <w:basedOn w:val="DefaultParagraphFont"/>
    <w:link w:val="Header"/>
    <w:uiPriority w:val="99"/>
    <w:semiHidden/>
    <w:rsid w:val="00707FA1"/>
    <w:rPr>
      <w:color w:val="909090" w:themeColor="text1" w:themeTint="80"/>
      <w:sz w:val="19"/>
      <w:lang w:val="en-US"/>
    </w:rPr>
  </w:style>
  <w:style w:type="paragraph" w:styleId="Footer">
    <w:name w:val="footer"/>
    <w:basedOn w:val="Normal"/>
    <w:link w:val="FooterChar"/>
    <w:uiPriority w:val="99"/>
    <w:semiHidden/>
    <w:rsid w:val="00BA2BE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07FA1"/>
    <w:rPr>
      <w:lang w:val="en-US"/>
    </w:rPr>
  </w:style>
  <w:style w:type="paragraph" w:customStyle="1" w:styleId="SectionHeader">
    <w:name w:val="Section Header"/>
    <w:basedOn w:val="Heading1"/>
    <w:link w:val="SectionHeaderChar"/>
    <w:uiPriority w:val="13"/>
    <w:qFormat/>
    <w:rsid w:val="003C0669"/>
    <w:pPr>
      <w:numPr>
        <w:numId w:val="6"/>
      </w:numPr>
      <w:ind w:left="0" w:firstLine="0"/>
    </w:pPr>
    <w:rPr>
      <w:sz w:val="72"/>
    </w:rPr>
  </w:style>
  <w:style w:type="paragraph" w:customStyle="1" w:styleId="SectionSubtitle">
    <w:name w:val="Section Subtitle"/>
    <w:basedOn w:val="Subtitle"/>
    <w:uiPriority w:val="24"/>
    <w:qFormat/>
    <w:rsid w:val="00A019FA"/>
    <w:pPr>
      <w:spacing w:before="160" w:line="269" w:lineRule="auto"/>
    </w:pPr>
    <w:rPr>
      <w:color w:val="82009B" w:themeColor="accent6"/>
    </w:rPr>
  </w:style>
  <w:style w:type="character" w:styleId="PlaceholderText">
    <w:name w:val="Placeholder Text"/>
    <w:basedOn w:val="DefaultParagraphFont"/>
    <w:uiPriority w:val="99"/>
    <w:semiHidden/>
    <w:rsid w:val="00450ED5"/>
    <w:rPr>
      <w:color w:val="666666"/>
    </w:rPr>
  </w:style>
  <w:style w:type="paragraph" w:customStyle="1" w:styleId="GraphiteBlock">
    <w:name w:val="Graphite Block"/>
    <w:basedOn w:val="DarkBlock"/>
    <w:uiPriority w:val="8"/>
    <w:qFormat/>
    <w:rsid w:val="007D745F"/>
    <w:pPr>
      <w:pBdr>
        <w:top w:val="single" w:sz="48" w:space="20" w:color="232323" w:themeColor="text2"/>
        <w:bottom w:val="single" w:sz="48" w:space="20" w:color="232323" w:themeColor="text2"/>
      </w:pBdr>
      <w:spacing w:line="264" w:lineRule="auto"/>
    </w:pPr>
    <w:rPr>
      <w:rFonts w:asciiTheme="minorHAnsi" w:hAnsiTheme="minorHAnsi"/>
      <w:noProof/>
      <w:sz w:val="28"/>
    </w:rPr>
  </w:style>
  <w:style w:type="paragraph" w:customStyle="1" w:styleId="MintBlock">
    <w:name w:val="Mint Block"/>
    <w:basedOn w:val="GraphiteBlock"/>
    <w:uiPriority w:val="8"/>
    <w:qFormat/>
    <w:rsid w:val="007D745F"/>
    <w:pPr>
      <w:pBdr>
        <w:top w:val="single" w:sz="48" w:space="20" w:color="3CEB9D" w:themeColor="accent5"/>
        <w:left w:val="single" w:sz="48" w:space="31" w:color="3CEB9D" w:themeColor="accent5"/>
        <w:bottom w:val="single" w:sz="48" w:space="20" w:color="3CEB9D" w:themeColor="accent5"/>
        <w:right w:val="single" w:sz="48" w:space="31" w:color="3CEB9D" w:themeColor="accent5"/>
      </w:pBdr>
      <w:shd w:val="clear" w:color="auto" w:fill="3CEB9D" w:themeFill="accent5"/>
    </w:pPr>
    <w:rPr>
      <w:color w:val="auto"/>
    </w:rPr>
  </w:style>
  <w:style w:type="paragraph" w:customStyle="1" w:styleId="PurpleBlock">
    <w:name w:val="Purple Block"/>
    <w:basedOn w:val="MintBlock"/>
    <w:uiPriority w:val="8"/>
    <w:qFormat/>
    <w:rsid w:val="007D745F"/>
    <w:pPr>
      <w:pBdr>
        <w:top w:val="single" w:sz="48" w:space="20" w:color="82009B" w:themeColor="accent6"/>
        <w:left w:val="single" w:sz="48" w:space="31" w:color="82009B" w:themeColor="accent6"/>
        <w:bottom w:val="single" w:sz="48" w:space="20" w:color="82009B" w:themeColor="accent6"/>
        <w:right w:val="single" w:sz="48" w:space="31" w:color="82009B" w:themeColor="accent6"/>
      </w:pBdr>
      <w:shd w:val="clear" w:color="auto" w:fill="82009B" w:themeFill="accent6"/>
    </w:pPr>
  </w:style>
  <w:style w:type="paragraph" w:customStyle="1" w:styleId="YellowBlock">
    <w:name w:val="Yellow Block"/>
    <w:basedOn w:val="PurpleBlock"/>
    <w:uiPriority w:val="8"/>
    <w:qFormat/>
    <w:rsid w:val="007D745F"/>
    <w:pPr>
      <w:pBdr>
        <w:top w:val="single" w:sz="48" w:space="20" w:color="EBFE41" w:themeColor="accent4"/>
        <w:left w:val="single" w:sz="48" w:space="31" w:color="EBFE41" w:themeColor="accent4"/>
        <w:bottom w:val="single" w:sz="48" w:space="20" w:color="EBFE41" w:themeColor="accent4"/>
        <w:right w:val="single" w:sz="48" w:space="31" w:color="EBFE41" w:themeColor="accent4"/>
      </w:pBdr>
      <w:shd w:val="clear" w:color="auto" w:fill="EBFE41" w:themeFill="accent4"/>
    </w:pPr>
  </w:style>
  <w:style w:type="paragraph" w:customStyle="1" w:styleId="AshGreyBlock">
    <w:name w:val="Ash Grey Block"/>
    <w:basedOn w:val="YellowBlock"/>
    <w:uiPriority w:val="8"/>
    <w:qFormat/>
    <w:rsid w:val="007D745F"/>
    <w:pPr>
      <w:pBdr>
        <w:top w:val="single" w:sz="48" w:space="20" w:color="ACAEAC" w:themeColor="accent2"/>
        <w:left w:val="single" w:sz="48" w:space="31" w:color="ACAEAC" w:themeColor="accent2"/>
        <w:bottom w:val="single" w:sz="48" w:space="20" w:color="ACAEAC" w:themeColor="accent2"/>
        <w:right w:val="single" w:sz="48" w:space="31" w:color="ACAEAC" w:themeColor="accent2"/>
      </w:pBdr>
      <w:shd w:val="clear" w:color="auto" w:fill="ACAEAC" w:themeFill="accent2"/>
    </w:pPr>
  </w:style>
  <w:style w:type="paragraph" w:customStyle="1" w:styleId="PaleGreyBlock">
    <w:name w:val="Pale Grey Block"/>
    <w:basedOn w:val="AshGreyBlock"/>
    <w:uiPriority w:val="8"/>
    <w:qFormat/>
    <w:rsid w:val="007D745F"/>
    <w:pPr>
      <w:pBdr>
        <w:top w:val="single" w:sz="48" w:space="20" w:color="E6E6E6" w:themeColor="accent3"/>
        <w:left w:val="single" w:sz="48" w:space="31" w:color="E6E6E6" w:themeColor="accent3"/>
        <w:bottom w:val="single" w:sz="48" w:space="20" w:color="E6E6E6" w:themeColor="accent3"/>
        <w:right w:val="single" w:sz="48" w:space="31" w:color="E6E6E6" w:themeColor="accent3"/>
      </w:pBdr>
      <w:shd w:val="clear" w:color="auto" w:fill="E6E6E6" w:themeFill="accent3"/>
    </w:pPr>
  </w:style>
  <w:style w:type="paragraph" w:styleId="ListBullet">
    <w:name w:val="List Bullet"/>
    <w:basedOn w:val="Normal"/>
    <w:uiPriority w:val="3"/>
    <w:unhideWhenUsed/>
    <w:rsid w:val="00B3744D"/>
    <w:pPr>
      <w:numPr>
        <w:numId w:val="1"/>
      </w:numPr>
      <w:ind w:left="340" w:hanging="340"/>
      <w:contextualSpacing/>
    </w:pPr>
  </w:style>
  <w:style w:type="paragraph" w:styleId="ListBullet2">
    <w:name w:val="List Bullet 2"/>
    <w:basedOn w:val="Normal"/>
    <w:uiPriority w:val="3"/>
    <w:unhideWhenUsed/>
    <w:rsid w:val="00B3744D"/>
    <w:pPr>
      <w:numPr>
        <w:numId w:val="2"/>
      </w:numPr>
      <w:ind w:left="680" w:hanging="340"/>
      <w:contextualSpacing/>
    </w:pPr>
  </w:style>
  <w:style w:type="paragraph" w:styleId="ListBullet3">
    <w:name w:val="List Bullet 3"/>
    <w:basedOn w:val="Normal"/>
    <w:uiPriority w:val="3"/>
    <w:unhideWhenUsed/>
    <w:rsid w:val="00B3744D"/>
    <w:pPr>
      <w:numPr>
        <w:numId w:val="3"/>
      </w:numPr>
      <w:ind w:left="1020" w:hanging="340"/>
      <w:contextualSpacing/>
    </w:pPr>
  </w:style>
  <w:style w:type="paragraph" w:styleId="ListBullet4">
    <w:name w:val="List Bullet 4"/>
    <w:basedOn w:val="Normal"/>
    <w:uiPriority w:val="3"/>
    <w:semiHidden/>
    <w:rsid w:val="00B3744D"/>
    <w:pPr>
      <w:numPr>
        <w:numId w:val="4"/>
      </w:numPr>
      <w:ind w:left="1361" w:hanging="340"/>
      <w:contextualSpacing/>
    </w:pPr>
  </w:style>
  <w:style w:type="paragraph" w:styleId="ListBullet5">
    <w:name w:val="List Bullet 5"/>
    <w:basedOn w:val="Normal"/>
    <w:uiPriority w:val="3"/>
    <w:semiHidden/>
    <w:unhideWhenUsed/>
    <w:rsid w:val="00B3744D"/>
    <w:pPr>
      <w:numPr>
        <w:numId w:val="5"/>
      </w:numPr>
      <w:ind w:left="1701" w:hanging="340"/>
      <w:contextualSpacing/>
    </w:pPr>
  </w:style>
  <w:style w:type="table" w:styleId="TableGrid">
    <w:name w:val="Table Grid"/>
    <w:basedOn w:val="TableNormal"/>
    <w:uiPriority w:val="39"/>
    <w:rsid w:val="004C4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style>
  <w:style w:type="table" w:styleId="PlainTable5">
    <w:name w:val="Plain Table 5"/>
    <w:basedOn w:val="TableNormal"/>
    <w:uiPriority w:val="45"/>
    <w:rsid w:val="000146F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09090" w:themeColor="text1" w:themeTint="80"/>
        </w:tcBorders>
        <w:shd w:val="clear" w:color="auto" w:fill="FEFEFE" w:themeFill="background1"/>
      </w:tcPr>
    </w:tblStylePr>
    <w:tblStylePr w:type="lastRow">
      <w:rPr>
        <w:rFonts w:asciiTheme="majorHAnsi" w:eastAsiaTheme="majorEastAsia" w:hAnsiTheme="majorHAnsi" w:cstheme="majorBidi"/>
        <w:i/>
        <w:iCs/>
        <w:sz w:val="26"/>
      </w:rPr>
      <w:tblPr/>
      <w:tcPr>
        <w:tcBorders>
          <w:top w:val="single" w:sz="4" w:space="0" w:color="909090" w:themeColor="text1" w:themeTint="80"/>
        </w:tcBorders>
        <w:shd w:val="clear" w:color="auto" w:fill="FEFEFE"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09090" w:themeColor="text1" w:themeTint="80"/>
        </w:tcBorders>
        <w:shd w:val="clear" w:color="auto" w:fill="FEFEFE" w:themeFill="background1"/>
      </w:tcPr>
    </w:tblStylePr>
    <w:tblStylePr w:type="lastCol">
      <w:rPr>
        <w:rFonts w:asciiTheme="majorHAnsi" w:eastAsiaTheme="majorEastAsia" w:hAnsiTheme="majorHAnsi" w:cstheme="majorBidi"/>
        <w:i/>
        <w:iCs/>
        <w:sz w:val="26"/>
      </w:rPr>
      <w:tblPr/>
      <w:tcPr>
        <w:tcBorders>
          <w:left w:val="single" w:sz="4" w:space="0" w:color="909090" w:themeColor="text1" w:themeTint="80"/>
        </w:tcBorders>
        <w:shd w:val="clear" w:color="auto" w:fill="FEFEFE" w:themeFill="background1"/>
      </w:tcPr>
    </w:tblStylePr>
    <w:tblStylePr w:type="band1Vert">
      <w:tblPr/>
      <w:tcPr>
        <w:shd w:val="clear" w:color="auto" w:fill="F1F1F1" w:themeFill="background1" w:themeFillShade="F2"/>
      </w:tcPr>
    </w:tblStylePr>
    <w:tblStylePr w:type="band1Horz">
      <w:tblPr/>
      <w:tcPr>
        <w:shd w:val="clear" w:color="auto" w:fill="F1F1F1"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oSpacingChar">
    <w:name w:val="No Spacing Char"/>
    <w:basedOn w:val="DefaultParagraphFont"/>
    <w:link w:val="NoSpacing"/>
    <w:uiPriority w:val="1"/>
    <w:rsid w:val="00707FA1"/>
  </w:style>
  <w:style w:type="character" w:customStyle="1" w:styleId="PurpleText">
    <w:name w:val="Purple Text"/>
    <w:basedOn w:val="YellowText"/>
    <w:uiPriority w:val="4"/>
    <w:qFormat/>
    <w:rsid w:val="00BD2319"/>
    <w:rPr>
      <w:color w:val="82009B" w:themeColor="accent6"/>
    </w:rPr>
  </w:style>
  <w:style w:type="character" w:customStyle="1" w:styleId="MintText">
    <w:name w:val="Mint Text"/>
    <w:basedOn w:val="PurpleText"/>
    <w:uiPriority w:val="4"/>
    <w:qFormat/>
    <w:rsid w:val="00BD2319"/>
    <w:rPr>
      <w:color w:val="3CEB9D" w:themeColor="accent5"/>
    </w:rPr>
  </w:style>
  <w:style w:type="paragraph" w:styleId="FootnoteText">
    <w:name w:val="footnote text"/>
    <w:basedOn w:val="Normal"/>
    <w:link w:val="FootnoteTextChar"/>
    <w:uiPriority w:val="99"/>
    <w:unhideWhenUsed/>
    <w:rsid w:val="00251CE1"/>
    <w:pPr>
      <w:pBdr>
        <w:left w:val="double" w:sz="6" w:space="5" w:color="3CEB9D" w:themeColor="accent5"/>
      </w:pBdr>
      <w:spacing w:after="0" w:line="288" w:lineRule="auto"/>
    </w:pPr>
    <w:rPr>
      <w:sz w:val="18"/>
      <w:szCs w:val="20"/>
    </w:rPr>
  </w:style>
  <w:style w:type="character" w:customStyle="1" w:styleId="FootnoteTextChar">
    <w:name w:val="Footnote Text Char"/>
    <w:basedOn w:val="DefaultParagraphFont"/>
    <w:link w:val="FootnoteText"/>
    <w:uiPriority w:val="99"/>
    <w:rsid w:val="00251CE1"/>
    <w:rPr>
      <w:sz w:val="18"/>
      <w:szCs w:val="20"/>
      <w:lang w:val="en-US"/>
    </w:rPr>
  </w:style>
  <w:style w:type="character" w:styleId="FootnoteReference">
    <w:name w:val="footnote reference"/>
    <w:basedOn w:val="DefaultParagraphFont"/>
    <w:uiPriority w:val="99"/>
    <w:unhideWhenUsed/>
    <w:rsid w:val="00BD2319"/>
    <w:rPr>
      <w:vertAlign w:val="superscript"/>
    </w:rPr>
  </w:style>
  <w:style w:type="character" w:styleId="Hashtag">
    <w:name w:val="Hashtag"/>
    <w:basedOn w:val="DefaultParagraphFont"/>
    <w:uiPriority w:val="99"/>
    <w:semiHidden/>
    <w:unhideWhenUsed/>
    <w:rsid w:val="00A019FA"/>
    <w:rPr>
      <w:color w:val="82009B" w:themeColor="accent6"/>
      <w:shd w:val="clear" w:color="auto" w:fill="E1DFDD"/>
    </w:rPr>
  </w:style>
  <w:style w:type="character" w:customStyle="1" w:styleId="Heading7Char">
    <w:name w:val="Heading 7 Char"/>
    <w:basedOn w:val="DefaultParagraphFont"/>
    <w:link w:val="Heading7"/>
    <w:uiPriority w:val="2"/>
    <w:rsid w:val="00707FA1"/>
    <w:rPr>
      <w:rFonts w:asciiTheme="majorHAnsi" w:eastAsiaTheme="majorEastAsia" w:hAnsiTheme="majorHAnsi" w:cstheme="majorBidi"/>
      <w:iCs/>
      <w:color w:val="ACAEAC" w:themeColor="accent2"/>
      <w:lang w:val="en-US"/>
    </w:rPr>
  </w:style>
  <w:style w:type="table" w:styleId="GridTable5Dark-Accent6">
    <w:name w:val="Grid Table 5 Dark Accent 6"/>
    <w:basedOn w:val="TableNormal"/>
    <w:uiPriority w:val="50"/>
    <w:rsid w:val="00C21E0C"/>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F3B8FF" w:themeFill="accent6"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82009B" w:themeFill="accent6"/>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82009B" w:themeFill="accent6"/>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82009B" w:themeFill="accent6"/>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82009B" w:themeFill="accent6"/>
      </w:tcPr>
    </w:tblStylePr>
    <w:tblStylePr w:type="band1Vert">
      <w:tblPr/>
      <w:tcPr>
        <w:shd w:val="clear" w:color="auto" w:fill="E771FF" w:themeFill="accent6" w:themeFillTint="66"/>
      </w:tcPr>
    </w:tblStylePr>
    <w:tblStylePr w:type="band1Horz">
      <w:tblPr/>
      <w:tcPr>
        <w:shd w:val="clear" w:color="auto" w:fill="E771FF" w:themeFill="accent6" w:themeFillTint="66"/>
      </w:tcPr>
    </w:tblStylePr>
  </w:style>
  <w:style w:type="table" w:styleId="ListTable1Light-Accent3">
    <w:name w:val="List Table 1 Light Accent 3"/>
    <w:basedOn w:val="TableNormal"/>
    <w:uiPriority w:val="46"/>
    <w:rsid w:val="00C21E0C"/>
    <w:pPr>
      <w:spacing w:after="0" w:line="240" w:lineRule="auto"/>
    </w:pPr>
    <w:tblPr>
      <w:tblStyleRowBandSize w:val="1"/>
      <w:tblStyleColBandSize w:val="1"/>
    </w:tblPr>
    <w:tblStylePr w:type="firstRow">
      <w:rPr>
        <w:b/>
        <w:bCs/>
      </w:rPr>
      <w:tblPr/>
      <w:tcPr>
        <w:tcBorders>
          <w:bottom w:val="single" w:sz="4" w:space="0" w:color="F0F0F0" w:themeColor="accent3" w:themeTint="99"/>
        </w:tcBorders>
      </w:tcPr>
    </w:tblStylePr>
    <w:tblStylePr w:type="lastRow">
      <w:rPr>
        <w:b/>
        <w:bCs/>
      </w:rPr>
      <w:tblPr/>
      <w:tcPr>
        <w:tcBorders>
          <w:top w:val="single" w:sz="4" w:space="0" w:color="F0F0F0" w:themeColor="accent3" w:themeTint="99"/>
        </w:tcBorders>
      </w:tcPr>
    </w:tblStylePr>
    <w:tblStylePr w:type="firstCol">
      <w:rPr>
        <w:b/>
        <w:bCs/>
      </w:rPr>
    </w:tblStylePr>
    <w:tblStylePr w:type="lastCol">
      <w:rPr>
        <w:b/>
        <w:bCs/>
      </w:rPr>
    </w:tblStylePr>
    <w:tblStylePr w:type="band1Vert">
      <w:tblPr/>
      <w:tcPr>
        <w:shd w:val="clear" w:color="auto" w:fill="FAFAFA" w:themeFill="accent3" w:themeFillTint="33"/>
      </w:tcPr>
    </w:tblStylePr>
    <w:tblStylePr w:type="band1Horz">
      <w:tblPr/>
      <w:tcPr>
        <w:shd w:val="clear" w:color="auto" w:fill="FAFAFA" w:themeFill="accent3" w:themeFillTint="33"/>
      </w:tcPr>
    </w:tblStylePr>
  </w:style>
  <w:style w:type="table" w:styleId="ListTable7Colorful-Accent3">
    <w:name w:val="List Table 7 Colorful Accent 3"/>
    <w:basedOn w:val="TableNormal"/>
    <w:uiPriority w:val="52"/>
    <w:rsid w:val="00C21E0C"/>
    <w:pPr>
      <w:spacing w:after="0" w:line="240" w:lineRule="auto"/>
    </w:pPr>
    <w:rPr>
      <w:color w:val="ACACAC" w:themeColor="accent3" w:themeShade="BF"/>
    </w:rPr>
    <w:tblPr>
      <w:tblStyleRowBandSize w:val="1"/>
      <w:tblStyleColBandSize w:val="1"/>
    </w:tblPr>
    <w:tblStylePr w:type="firstRow">
      <w:rPr>
        <w:rFonts w:asciiTheme="majorHAnsi" w:eastAsiaTheme="majorEastAsia" w:hAnsiTheme="majorHAnsi" w:cstheme="majorBidi"/>
        <w:i w:val="0"/>
        <w:iCs/>
        <w:sz w:val="26"/>
      </w:rPr>
      <w:tblPr/>
      <w:tcPr>
        <w:tcBorders>
          <w:bottom w:val="single" w:sz="4" w:space="0" w:color="E6E6E6" w:themeColor="accent3"/>
        </w:tcBorders>
        <w:shd w:val="clear" w:color="auto" w:fill="FEFEFE" w:themeFill="background1"/>
      </w:tcPr>
    </w:tblStylePr>
    <w:tblStylePr w:type="lastRow">
      <w:rPr>
        <w:rFonts w:asciiTheme="majorHAnsi" w:eastAsiaTheme="majorEastAsia" w:hAnsiTheme="majorHAnsi" w:cstheme="majorBidi"/>
        <w:i/>
        <w:iCs/>
        <w:sz w:val="26"/>
      </w:rPr>
      <w:tblPr/>
      <w:tcPr>
        <w:tcBorders>
          <w:top w:val="single" w:sz="4" w:space="0" w:color="E6E6E6" w:themeColor="accent3"/>
        </w:tcBorders>
        <w:shd w:val="clear" w:color="auto" w:fill="FEFEFE"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E6E6" w:themeColor="accent3"/>
        </w:tcBorders>
        <w:shd w:val="clear" w:color="auto" w:fill="FEFEFE" w:themeFill="background1"/>
      </w:tcPr>
    </w:tblStylePr>
    <w:tblStylePr w:type="lastCol">
      <w:rPr>
        <w:rFonts w:asciiTheme="majorHAnsi" w:eastAsiaTheme="majorEastAsia" w:hAnsiTheme="majorHAnsi" w:cstheme="majorBidi"/>
        <w:i/>
        <w:iCs/>
        <w:sz w:val="26"/>
      </w:rPr>
      <w:tblPr/>
      <w:tcPr>
        <w:tcBorders>
          <w:left w:val="single" w:sz="4" w:space="0" w:color="E6E6E6" w:themeColor="accent3"/>
        </w:tcBorders>
        <w:shd w:val="clear" w:color="auto" w:fill="FEFEFE" w:themeFill="background1"/>
      </w:tcPr>
    </w:tblStylePr>
    <w:tblStylePr w:type="band1Vert">
      <w:tblPr/>
      <w:tcPr>
        <w:shd w:val="clear" w:color="auto" w:fill="FAFAFA" w:themeFill="accent3" w:themeFillTint="33"/>
      </w:tcPr>
    </w:tblStylePr>
    <w:tblStylePr w:type="band1Horz">
      <w:tblPr/>
      <w:tcPr>
        <w:shd w:val="clear" w:color="auto" w:fill="FAFA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7Colorful-Accent4">
    <w:name w:val="Grid Table 7 Colorful Accent 4"/>
    <w:basedOn w:val="TableNormal"/>
    <w:uiPriority w:val="52"/>
    <w:rsid w:val="00C21E0C"/>
    <w:pPr>
      <w:spacing w:after="0" w:line="240" w:lineRule="auto"/>
    </w:pPr>
    <w:rPr>
      <w:color w:val="D5ED01" w:themeColor="accent4" w:themeShade="BF"/>
    </w:rPr>
    <w:tblPr>
      <w:tblStyleRowBandSize w:val="1"/>
      <w:tblStyleColBandSize w:val="1"/>
      <w:tblBorders>
        <w:top w:val="single" w:sz="4" w:space="0" w:color="F2FE8C" w:themeColor="accent4" w:themeTint="99"/>
        <w:left w:val="single" w:sz="4" w:space="0" w:color="F2FE8C" w:themeColor="accent4" w:themeTint="99"/>
        <w:bottom w:val="single" w:sz="4" w:space="0" w:color="F2FE8C" w:themeColor="accent4" w:themeTint="99"/>
        <w:right w:val="single" w:sz="4" w:space="0" w:color="F2FE8C" w:themeColor="accent4" w:themeTint="99"/>
        <w:insideH w:val="single" w:sz="4" w:space="0" w:color="F2FE8C" w:themeColor="accent4" w:themeTint="99"/>
        <w:insideV w:val="single" w:sz="4" w:space="0" w:color="F2FE8C" w:themeColor="accent4" w:themeTint="99"/>
      </w:tblBorders>
    </w:tblPr>
    <w:tblStylePr w:type="firstRow">
      <w:rPr>
        <w:b/>
        <w:bCs/>
      </w:rPr>
      <w:tblPr/>
      <w:tcPr>
        <w:tcBorders>
          <w:top w:val="nil"/>
          <w:left w:val="nil"/>
          <w:right w:val="nil"/>
          <w:insideH w:val="nil"/>
          <w:insideV w:val="nil"/>
        </w:tcBorders>
        <w:shd w:val="clear" w:color="auto" w:fill="FEFEFE" w:themeFill="background1"/>
      </w:tcPr>
    </w:tblStylePr>
    <w:tblStylePr w:type="lastRow">
      <w:rPr>
        <w:b/>
        <w:bCs/>
      </w:rPr>
      <w:tblPr/>
      <w:tcPr>
        <w:tcBorders>
          <w:left w:val="nil"/>
          <w:bottom w:val="nil"/>
          <w:right w:val="nil"/>
          <w:insideH w:val="nil"/>
          <w:insideV w:val="nil"/>
        </w:tcBorders>
        <w:shd w:val="clear" w:color="auto" w:fill="FEFEFE" w:themeFill="background1"/>
      </w:tcPr>
    </w:tblStylePr>
    <w:tblStylePr w:type="firstCol">
      <w:pPr>
        <w:jc w:val="right"/>
      </w:pPr>
      <w:rPr>
        <w:i/>
        <w:iCs/>
      </w:rPr>
      <w:tblPr/>
      <w:tcPr>
        <w:tcBorders>
          <w:top w:val="nil"/>
          <w:left w:val="nil"/>
          <w:bottom w:val="nil"/>
          <w:insideH w:val="nil"/>
          <w:insideV w:val="nil"/>
        </w:tcBorders>
        <w:shd w:val="clear" w:color="auto" w:fill="FEFEFE" w:themeFill="background1"/>
      </w:tcPr>
    </w:tblStylePr>
    <w:tblStylePr w:type="lastCol">
      <w:rPr>
        <w:i/>
        <w:iCs/>
      </w:rPr>
      <w:tblPr/>
      <w:tcPr>
        <w:tcBorders>
          <w:top w:val="nil"/>
          <w:bottom w:val="nil"/>
          <w:right w:val="nil"/>
          <w:insideH w:val="nil"/>
          <w:insideV w:val="nil"/>
        </w:tcBorders>
        <w:shd w:val="clear" w:color="auto" w:fill="FEFEFE" w:themeFill="background1"/>
      </w:tcPr>
    </w:tblStylePr>
    <w:tblStylePr w:type="band1Vert">
      <w:tblPr/>
      <w:tcPr>
        <w:shd w:val="clear" w:color="auto" w:fill="FAFED8" w:themeFill="accent4" w:themeFillTint="33"/>
      </w:tcPr>
    </w:tblStylePr>
    <w:tblStylePr w:type="band1Horz">
      <w:tblPr/>
      <w:tcPr>
        <w:shd w:val="clear" w:color="auto" w:fill="FAFED8" w:themeFill="accent4" w:themeFillTint="33"/>
      </w:tcPr>
    </w:tblStylePr>
    <w:tblStylePr w:type="neCell">
      <w:tblPr/>
      <w:tcPr>
        <w:tcBorders>
          <w:bottom w:val="single" w:sz="4" w:space="0" w:color="F2FE8C" w:themeColor="accent4" w:themeTint="99"/>
        </w:tcBorders>
      </w:tcPr>
    </w:tblStylePr>
    <w:tblStylePr w:type="nwCell">
      <w:tblPr/>
      <w:tcPr>
        <w:tcBorders>
          <w:bottom w:val="single" w:sz="4" w:space="0" w:color="F2FE8C" w:themeColor="accent4" w:themeTint="99"/>
        </w:tcBorders>
      </w:tcPr>
    </w:tblStylePr>
    <w:tblStylePr w:type="seCell">
      <w:tblPr/>
      <w:tcPr>
        <w:tcBorders>
          <w:top w:val="single" w:sz="4" w:space="0" w:color="F2FE8C" w:themeColor="accent4" w:themeTint="99"/>
        </w:tcBorders>
      </w:tcPr>
    </w:tblStylePr>
    <w:tblStylePr w:type="swCell">
      <w:tblPr/>
      <w:tcPr>
        <w:tcBorders>
          <w:top w:val="single" w:sz="4" w:space="0" w:color="F2FE8C" w:themeColor="accent4" w:themeTint="99"/>
        </w:tcBorders>
      </w:tcPr>
    </w:tblStylePr>
  </w:style>
  <w:style w:type="table" w:styleId="GridTable6Colorful">
    <w:name w:val="Grid Table 6 Colorful"/>
    <w:basedOn w:val="TableNormal"/>
    <w:uiPriority w:val="51"/>
    <w:rsid w:val="00C21E0C"/>
    <w:pPr>
      <w:spacing w:after="0" w:line="240" w:lineRule="auto"/>
    </w:pPr>
    <w:rPr>
      <w:color w:val="232323" w:themeColor="text1"/>
    </w:rPr>
    <w:tblPr>
      <w:tblStyleRowBandSize w:val="1"/>
      <w:tblStyleColBandSize w:val="1"/>
      <w:tblBorders>
        <w:top w:val="single" w:sz="4" w:space="0" w:color="7B7B7B" w:themeColor="text1" w:themeTint="99"/>
        <w:left w:val="single" w:sz="4" w:space="0" w:color="7B7B7B" w:themeColor="text1" w:themeTint="99"/>
        <w:bottom w:val="single" w:sz="4" w:space="0" w:color="7B7B7B" w:themeColor="text1" w:themeTint="99"/>
        <w:right w:val="single" w:sz="4" w:space="0" w:color="7B7B7B" w:themeColor="text1" w:themeTint="99"/>
        <w:insideH w:val="single" w:sz="4" w:space="0" w:color="7B7B7B" w:themeColor="text1" w:themeTint="99"/>
        <w:insideV w:val="single" w:sz="4" w:space="0" w:color="7B7B7B" w:themeColor="text1" w:themeTint="99"/>
      </w:tblBorders>
    </w:tblPr>
    <w:tblStylePr w:type="firstRow">
      <w:rPr>
        <w:b/>
        <w:bCs/>
      </w:rPr>
      <w:tblPr/>
      <w:tcPr>
        <w:tcBorders>
          <w:bottom w:val="single" w:sz="12" w:space="0" w:color="7B7B7B" w:themeColor="text1" w:themeTint="99"/>
        </w:tcBorders>
      </w:tcPr>
    </w:tblStylePr>
    <w:tblStylePr w:type="lastRow">
      <w:rPr>
        <w:b/>
        <w:bCs/>
      </w:rPr>
      <w:tblPr/>
      <w:tcPr>
        <w:tcBorders>
          <w:top w:val="double" w:sz="4" w:space="0" w:color="7B7B7B" w:themeColor="text1" w:themeTint="99"/>
        </w:tcBorders>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GridTable7Colorful-Accent2">
    <w:name w:val="Grid Table 7 Colorful Accent 2"/>
    <w:basedOn w:val="TableNormal"/>
    <w:uiPriority w:val="52"/>
    <w:rsid w:val="00C21E0C"/>
    <w:pPr>
      <w:spacing w:after="0" w:line="240" w:lineRule="auto"/>
    </w:pPr>
    <w:rPr>
      <w:color w:val="808380" w:themeColor="accent2" w:themeShade="BF"/>
    </w:rPr>
    <w:tblPr>
      <w:tblStyleRowBandSize w:val="1"/>
      <w:tblStyleColBandSize w:val="1"/>
      <w:tblBorders>
        <w:top w:val="single" w:sz="4" w:space="0" w:color="CDCECD" w:themeColor="accent2" w:themeTint="99"/>
        <w:left w:val="single" w:sz="4" w:space="0" w:color="CDCECD" w:themeColor="accent2" w:themeTint="99"/>
        <w:bottom w:val="single" w:sz="4" w:space="0" w:color="CDCECD" w:themeColor="accent2" w:themeTint="99"/>
        <w:right w:val="single" w:sz="4" w:space="0" w:color="CDCECD" w:themeColor="accent2" w:themeTint="99"/>
        <w:insideH w:val="single" w:sz="4" w:space="0" w:color="CDCECD" w:themeColor="accent2" w:themeTint="99"/>
        <w:insideV w:val="single" w:sz="4" w:space="0" w:color="CDCECD" w:themeColor="accent2" w:themeTint="99"/>
      </w:tblBorders>
    </w:tblPr>
    <w:tblStylePr w:type="firstRow">
      <w:rPr>
        <w:b/>
        <w:bCs/>
      </w:rPr>
      <w:tblPr/>
      <w:tcPr>
        <w:tcBorders>
          <w:top w:val="nil"/>
          <w:left w:val="nil"/>
          <w:right w:val="nil"/>
          <w:insideH w:val="nil"/>
          <w:insideV w:val="nil"/>
        </w:tcBorders>
        <w:shd w:val="clear" w:color="auto" w:fill="FEFEFE" w:themeFill="background1"/>
      </w:tcPr>
    </w:tblStylePr>
    <w:tblStylePr w:type="lastRow">
      <w:rPr>
        <w:b/>
        <w:bCs/>
      </w:rPr>
      <w:tblPr/>
      <w:tcPr>
        <w:tcBorders>
          <w:left w:val="nil"/>
          <w:bottom w:val="nil"/>
          <w:right w:val="nil"/>
          <w:insideH w:val="nil"/>
          <w:insideV w:val="nil"/>
        </w:tcBorders>
        <w:shd w:val="clear" w:color="auto" w:fill="FEFEFE" w:themeFill="background1"/>
      </w:tcPr>
    </w:tblStylePr>
    <w:tblStylePr w:type="firstCol">
      <w:pPr>
        <w:jc w:val="right"/>
      </w:pPr>
      <w:rPr>
        <w:i/>
        <w:iCs/>
      </w:rPr>
      <w:tblPr/>
      <w:tcPr>
        <w:tcBorders>
          <w:top w:val="nil"/>
          <w:left w:val="nil"/>
          <w:bottom w:val="nil"/>
          <w:insideH w:val="nil"/>
          <w:insideV w:val="nil"/>
        </w:tcBorders>
        <w:shd w:val="clear" w:color="auto" w:fill="FEFEFE" w:themeFill="background1"/>
      </w:tcPr>
    </w:tblStylePr>
    <w:tblStylePr w:type="lastCol">
      <w:rPr>
        <w:i/>
        <w:iCs/>
      </w:rPr>
      <w:tblPr/>
      <w:tcPr>
        <w:tcBorders>
          <w:top w:val="nil"/>
          <w:bottom w:val="nil"/>
          <w:right w:val="nil"/>
          <w:insideH w:val="nil"/>
          <w:insideV w:val="nil"/>
        </w:tcBorders>
        <w:shd w:val="clear" w:color="auto" w:fill="FEFEFE" w:themeFill="background1"/>
      </w:tcPr>
    </w:tblStylePr>
    <w:tblStylePr w:type="band1Vert">
      <w:tblPr/>
      <w:tcPr>
        <w:shd w:val="clear" w:color="auto" w:fill="EEEEEE" w:themeFill="accent2" w:themeFillTint="33"/>
      </w:tcPr>
    </w:tblStylePr>
    <w:tblStylePr w:type="band1Horz">
      <w:tblPr/>
      <w:tcPr>
        <w:shd w:val="clear" w:color="auto" w:fill="EEEEEE" w:themeFill="accent2" w:themeFillTint="33"/>
      </w:tcPr>
    </w:tblStylePr>
    <w:tblStylePr w:type="neCell">
      <w:tblPr/>
      <w:tcPr>
        <w:tcBorders>
          <w:bottom w:val="single" w:sz="4" w:space="0" w:color="CDCECD" w:themeColor="accent2" w:themeTint="99"/>
        </w:tcBorders>
      </w:tcPr>
    </w:tblStylePr>
    <w:tblStylePr w:type="nwCell">
      <w:tblPr/>
      <w:tcPr>
        <w:tcBorders>
          <w:bottom w:val="single" w:sz="4" w:space="0" w:color="CDCECD" w:themeColor="accent2" w:themeTint="99"/>
        </w:tcBorders>
      </w:tcPr>
    </w:tblStylePr>
    <w:tblStylePr w:type="seCell">
      <w:tblPr/>
      <w:tcPr>
        <w:tcBorders>
          <w:top w:val="single" w:sz="4" w:space="0" w:color="CDCECD" w:themeColor="accent2" w:themeTint="99"/>
        </w:tcBorders>
      </w:tcPr>
    </w:tblStylePr>
    <w:tblStylePr w:type="swCell">
      <w:tblPr/>
      <w:tcPr>
        <w:tcBorders>
          <w:top w:val="single" w:sz="4" w:space="0" w:color="CDCECD" w:themeColor="accent2" w:themeTint="99"/>
        </w:tcBorders>
      </w:tcPr>
    </w:tblStylePr>
  </w:style>
  <w:style w:type="table" w:styleId="ListTable7Colorful-Accent2">
    <w:name w:val="List Table 7 Colorful Accent 2"/>
    <w:basedOn w:val="TableNormal"/>
    <w:uiPriority w:val="52"/>
    <w:rsid w:val="00C21E0C"/>
    <w:pPr>
      <w:spacing w:after="0" w:line="240" w:lineRule="auto"/>
    </w:pPr>
    <w:rPr>
      <w:color w:val="80838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CAEAC" w:themeColor="accent2"/>
        </w:tcBorders>
        <w:shd w:val="clear" w:color="auto" w:fill="FEFEFE" w:themeFill="background1"/>
      </w:tcPr>
    </w:tblStylePr>
    <w:tblStylePr w:type="lastRow">
      <w:rPr>
        <w:rFonts w:asciiTheme="majorHAnsi" w:eastAsiaTheme="majorEastAsia" w:hAnsiTheme="majorHAnsi" w:cstheme="majorBidi"/>
        <w:i/>
        <w:iCs/>
        <w:sz w:val="26"/>
      </w:rPr>
      <w:tblPr/>
      <w:tcPr>
        <w:tcBorders>
          <w:top w:val="single" w:sz="4" w:space="0" w:color="ACAEAC" w:themeColor="accent2"/>
        </w:tcBorders>
        <w:shd w:val="clear" w:color="auto" w:fill="FEFEFE"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CAEAC" w:themeColor="accent2"/>
        </w:tcBorders>
        <w:shd w:val="clear" w:color="auto" w:fill="FEFEFE" w:themeFill="background1"/>
      </w:tcPr>
    </w:tblStylePr>
    <w:tblStylePr w:type="lastCol">
      <w:rPr>
        <w:rFonts w:asciiTheme="majorHAnsi" w:eastAsiaTheme="majorEastAsia" w:hAnsiTheme="majorHAnsi" w:cstheme="majorBidi"/>
        <w:i/>
        <w:iCs/>
        <w:sz w:val="26"/>
      </w:rPr>
      <w:tblPr/>
      <w:tcPr>
        <w:tcBorders>
          <w:left w:val="single" w:sz="4" w:space="0" w:color="ACAEAC" w:themeColor="accent2"/>
        </w:tcBorders>
        <w:shd w:val="clear" w:color="auto" w:fill="FEFEFE" w:themeFill="background1"/>
      </w:tcPr>
    </w:tblStylePr>
    <w:tblStylePr w:type="band1Vert">
      <w:tblPr/>
      <w:tcPr>
        <w:shd w:val="clear" w:color="auto" w:fill="EEEEEE" w:themeFill="accent2" w:themeFillTint="33"/>
      </w:tcPr>
    </w:tblStylePr>
    <w:tblStylePr w:type="band1Horz">
      <w:tblPr/>
      <w:tcPr>
        <w:shd w:val="clear" w:color="auto" w:fill="EEEEE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C21E0C"/>
    <w:pPr>
      <w:spacing w:after="0" w:line="240" w:lineRule="auto"/>
    </w:pPr>
    <w:tblPr>
      <w:tblStyleRowBandSize w:val="1"/>
      <w:tblStyleColBandSize w:val="1"/>
      <w:tblBorders>
        <w:top w:val="single" w:sz="4" w:space="0" w:color="909090" w:themeColor="text1" w:themeTint="80"/>
        <w:bottom w:val="single" w:sz="4" w:space="0" w:color="909090" w:themeColor="text1" w:themeTint="80"/>
      </w:tblBorders>
    </w:tblPr>
    <w:tblStylePr w:type="firstRow">
      <w:rPr>
        <w:b/>
        <w:bCs/>
      </w:rPr>
      <w:tblPr/>
      <w:tcPr>
        <w:tcBorders>
          <w:bottom w:val="single" w:sz="4" w:space="0" w:color="909090" w:themeColor="text1" w:themeTint="80"/>
        </w:tcBorders>
      </w:tcPr>
    </w:tblStylePr>
    <w:tblStylePr w:type="lastRow">
      <w:rPr>
        <w:b/>
        <w:bCs/>
      </w:rPr>
      <w:tblPr/>
      <w:tcPr>
        <w:tcBorders>
          <w:top w:val="single" w:sz="4" w:space="0" w:color="909090" w:themeColor="text1" w:themeTint="80"/>
        </w:tcBorders>
      </w:tcPr>
    </w:tblStylePr>
    <w:tblStylePr w:type="firstCol">
      <w:rPr>
        <w:b/>
        <w:bCs/>
      </w:rPr>
    </w:tblStylePr>
    <w:tblStylePr w:type="lastCol">
      <w:rPr>
        <w:b/>
        <w:bCs/>
      </w:rPr>
    </w:tblStylePr>
    <w:tblStylePr w:type="band1Vert">
      <w:tblPr/>
      <w:tcPr>
        <w:tcBorders>
          <w:left w:val="single" w:sz="4" w:space="0" w:color="909090" w:themeColor="text1" w:themeTint="80"/>
          <w:right w:val="single" w:sz="4" w:space="0" w:color="909090" w:themeColor="text1" w:themeTint="80"/>
        </w:tcBorders>
      </w:tcPr>
    </w:tblStylePr>
    <w:tblStylePr w:type="band2Vert">
      <w:tblPr/>
      <w:tcPr>
        <w:tcBorders>
          <w:left w:val="single" w:sz="4" w:space="0" w:color="909090" w:themeColor="text1" w:themeTint="80"/>
          <w:right w:val="single" w:sz="4" w:space="0" w:color="909090" w:themeColor="text1" w:themeTint="80"/>
        </w:tcBorders>
      </w:tcPr>
    </w:tblStylePr>
    <w:tblStylePr w:type="band1Horz">
      <w:tblPr/>
      <w:tcPr>
        <w:tcBorders>
          <w:top w:val="single" w:sz="4" w:space="0" w:color="909090" w:themeColor="text1" w:themeTint="80"/>
          <w:bottom w:val="single" w:sz="4" w:space="0" w:color="909090" w:themeColor="text1" w:themeTint="80"/>
        </w:tcBorders>
      </w:tcPr>
    </w:tblStylePr>
  </w:style>
  <w:style w:type="table" w:styleId="ListTable3-Accent1">
    <w:name w:val="List Table 3 Accent 1"/>
    <w:basedOn w:val="TableNormal"/>
    <w:uiPriority w:val="48"/>
    <w:rsid w:val="004C47BD"/>
    <w:pPr>
      <w:spacing w:after="0" w:line="240" w:lineRule="auto"/>
    </w:pPr>
    <w:tblPr>
      <w:tblStyleRowBandSize w:val="1"/>
      <w:tblStyleColBandSize w:val="1"/>
      <w:tblBorders>
        <w:top w:val="single" w:sz="4" w:space="0" w:color="232323" w:themeColor="accent1"/>
        <w:left w:val="single" w:sz="4" w:space="0" w:color="232323" w:themeColor="accent1"/>
        <w:bottom w:val="single" w:sz="4" w:space="0" w:color="232323" w:themeColor="accent1"/>
        <w:right w:val="single" w:sz="4" w:space="0" w:color="232323" w:themeColor="accent1"/>
      </w:tblBorders>
      <w:tblCellMar>
        <w:top w:w="57" w:type="dxa"/>
        <w:bottom w:w="57" w:type="dxa"/>
      </w:tblCellMar>
    </w:tblPr>
    <w:tblStylePr w:type="firstRow">
      <w:rPr>
        <w:b/>
        <w:bCs/>
        <w:color w:val="FEFEFE" w:themeColor="background1"/>
      </w:rPr>
      <w:tblPr/>
      <w:tcPr>
        <w:shd w:val="clear" w:color="auto" w:fill="232323" w:themeFill="accent1"/>
      </w:tcPr>
    </w:tblStylePr>
    <w:tblStylePr w:type="lastRow">
      <w:rPr>
        <w:b/>
        <w:bCs/>
      </w:rPr>
      <w:tblPr/>
      <w:tcPr>
        <w:tcBorders>
          <w:top w:val="double" w:sz="4" w:space="0" w:color="232323" w:themeColor="accent1"/>
        </w:tcBorders>
        <w:shd w:val="clear" w:color="auto" w:fill="FEFEFE" w:themeFill="background1"/>
      </w:tcPr>
    </w:tblStylePr>
    <w:tblStylePr w:type="firstCol">
      <w:rPr>
        <w:b/>
        <w:bCs/>
      </w:rPr>
      <w:tblPr/>
      <w:tcPr>
        <w:tcBorders>
          <w:right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232323" w:themeColor="accent1"/>
          <w:right w:val="single" w:sz="4" w:space="0" w:color="232323" w:themeColor="accent1"/>
        </w:tcBorders>
      </w:tcPr>
    </w:tblStylePr>
    <w:tblStylePr w:type="band1Horz">
      <w:tblPr/>
      <w:tcPr>
        <w:tcBorders>
          <w:top w:val="single" w:sz="4" w:space="0" w:color="232323" w:themeColor="accent1"/>
          <w:bottom w:val="single" w:sz="4" w:space="0" w:color="23232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323" w:themeColor="accent1"/>
          <w:left w:val="nil"/>
        </w:tcBorders>
      </w:tcPr>
    </w:tblStylePr>
    <w:tblStylePr w:type="swCell">
      <w:tblPr/>
      <w:tcPr>
        <w:tcBorders>
          <w:top w:val="double" w:sz="4" w:space="0" w:color="232323" w:themeColor="accent1"/>
          <w:right w:val="nil"/>
        </w:tcBorders>
      </w:tcPr>
    </w:tblStylePr>
  </w:style>
  <w:style w:type="table" w:styleId="ListTable3-Accent5">
    <w:name w:val="List Table 3 Accent 5"/>
    <w:basedOn w:val="TableNormal"/>
    <w:uiPriority w:val="48"/>
    <w:rsid w:val="00664653"/>
    <w:pPr>
      <w:spacing w:after="0" w:line="240" w:lineRule="auto"/>
    </w:pPr>
    <w:tblPr>
      <w:tblStyleRowBandSize w:val="1"/>
      <w:tblStyleColBandSize w:val="1"/>
      <w:tblBorders>
        <w:top w:val="single" w:sz="4" w:space="0" w:color="3CEB9D" w:themeColor="accent5"/>
        <w:left w:val="single" w:sz="4" w:space="0" w:color="3CEB9D" w:themeColor="accent5"/>
        <w:bottom w:val="single" w:sz="4" w:space="0" w:color="3CEB9D" w:themeColor="accent5"/>
        <w:right w:val="single" w:sz="4" w:space="0" w:color="3CEB9D" w:themeColor="accent5"/>
        <w:insideH w:val="single" w:sz="4" w:space="0" w:color="3CEB9D" w:themeColor="accent5"/>
      </w:tblBorders>
    </w:tblPr>
    <w:tblStylePr w:type="firstRow">
      <w:rPr>
        <w:b/>
        <w:bCs/>
        <w:color w:val="FEFEFE" w:themeColor="background1"/>
      </w:rPr>
      <w:tblPr/>
      <w:tcPr>
        <w:tcBorders>
          <w:top w:val="single" w:sz="4" w:space="0" w:color="3CEB9D" w:themeColor="accent5"/>
          <w:left w:val="single" w:sz="4" w:space="0" w:color="3CEB9D" w:themeColor="accent5"/>
          <w:bottom w:val="single" w:sz="4" w:space="0" w:color="3CEB9D" w:themeColor="accent5"/>
          <w:right w:val="single" w:sz="4" w:space="0" w:color="3CEB9D" w:themeColor="accent5"/>
          <w:insideH w:val="nil"/>
          <w:insideV w:val="nil"/>
          <w:tl2br w:val="nil"/>
          <w:tr2bl w:val="nil"/>
        </w:tcBorders>
        <w:shd w:val="clear" w:color="auto" w:fill="3CEB9D" w:themeFill="accent5"/>
      </w:tcPr>
    </w:tblStylePr>
    <w:tblStylePr w:type="lastRow">
      <w:rPr>
        <w:b/>
        <w:bCs/>
      </w:rPr>
      <w:tblPr/>
      <w:tcPr>
        <w:tcBorders>
          <w:top w:val="single" w:sz="4" w:space="0" w:color="3CEB9D" w:themeColor="accent5"/>
        </w:tcBorders>
        <w:shd w:val="clear" w:color="auto" w:fill="FEFEFE" w:themeFill="background1"/>
      </w:tcPr>
    </w:tblStylePr>
    <w:tblStylePr w:type="firstCol">
      <w:rPr>
        <w:b/>
        <w:bCs/>
      </w:rPr>
      <w:tblPr/>
      <w:tcPr>
        <w:tcBorders>
          <w:top w:val="single" w:sz="4" w:space="0" w:color="3CEB9D" w:themeColor="accent5"/>
          <w:left w:val="single" w:sz="4" w:space="0" w:color="3CEB9D" w:themeColor="accent5"/>
          <w:bottom w:val="single" w:sz="4" w:space="0" w:color="3CEB9D" w:themeColor="accent5"/>
          <w:right w:val="nil"/>
          <w:insideH w:val="single" w:sz="4" w:space="0" w:color="3CEB9D" w:themeColor="accent5"/>
          <w:insideV w:val="nil"/>
          <w:tl2br w:val="nil"/>
          <w:tr2bl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3CEB9D" w:themeColor="accent5"/>
          <w:right w:val="single" w:sz="4" w:space="0" w:color="3CEB9D" w:themeColor="accent5"/>
        </w:tcBorders>
      </w:tcPr>
    </w:tblStylePr>
    <w:tblStylePr w:type="band1Horz">
      <w:tblPr/>
      <w:tcPr>
        <w:tcBorders>
          <w:top w:val="single" w:sz="4" w:space="0" w:color="3CEB9D" w:themeColor="accent5"/>
          <w:bottom w:val="single" w:sz="4" w:space="0" w:color="3CEB9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EB9D" w:themeColor="accent5"/>
          <w:left w:val="nil"/>
        </w:tcBorders>
      </w:tcPr>
    </w:tblStylePr>
    <w:tblStylePr w:type="swCell">
      <w:tblPr/>
      <w:tcPr>
        <w:tcBorders>
          <w:top w:val="double" w:sz="4" w:space="0" w:color="3CEB9D" w:themeColor="accent5"/>
          <w:right w:val="nil"/>
        </w:tcBorders>
      </w:tcPr>
    </w:tblStylePr>
  </w:style>
  <w:style w:type="paragraph" w:customStyle="1" w:styleId="CoverTitle">
    <w:name w:val="Cover Title"/>
    <w:basedOn w:val="Title"/>
    <w:uiPriority w:val="24"/>
    <w:unhideWhenUsed/>
    <w:qFormat/>
    <w:rsid w:val="001E0CF3"/>
    <w:pPr>
      <w:spacing w:after="240"/>
      <w:jc w:val="right"/>
    </w:pPr>
    <w:rPr>
      <w:sz w:val="80"/>
    </w:rPr>
  </w:style>
  <w:style w:type="paragraph" w:customStyle="1" w:styleId="CoverSubject">
    <w:name w:val="Cover Subject"/>
    <w:basedOn w:val="CoverTitle"/>
    <w:uiPriority w:val="24"/>
    <w:unhideWhenUsed/>
    <w:qFormat/>
    <w:rsid w:val="001E0CF3"/>
    <w:pPr>
      <w:spacing w:after="360"/>
    </w:pPr>
    <w:rPr>
      <w:b w:val="0"/>
      <w:bCs/>
      <w:color w:val="ACAEAC" w:themeColor="accent2"/>
    </w:rPr>
  </w:style>
  <w:style w:type="paragraph" w:customStyle="1" w:styleId="CoverText">
    <w:name w:val="Cover Text"/>
    <w:basedOn w:val="Normal"/>
    <w:uiPriority w:val="24"/>
    <w:unhideWhenUsed/>
    <w:qFormat/>
    <w:rsid w:val="003333FD"/>
    <w:pPr>
      <w:spacing w:before="240" w:after="120"/>
      <w:contextualSpacing/>
      <w:jc w:val="right"/>
      <w:textDirection w:val="btLr"/>
    </w:pPr>
    <w:rPr>
      <w:rFonts w:cs="Calibri"/>
      <w:color w:val="232323"/>
      <w:sz w:val="24"/>
    </w:rPr>
  </w:style>
  <w:style w:type="character" w:customStyle="1" w:styleId="GreyText">
    <w:name w:val="Grey Text"/>
    <w:basedOn w:val="PurpleText"/>
    <w:uiPriority w:val="4"/>
    <w:qFormat/>
    <w:rsid w:val="00662A47"/>
    <w:rPr>
      <w:color w:val="ACAEAC" w:themeColor="accent2"/>
    </w:rPr>
  </w:style>
  <w:style w:type="paragraph" w:customStyle="1" w:styleId="Disclaimer">
    <w:name w:val="Disclaimer"/>
    <w:basedOn w:val="Normal"/>
    <w:uiPriority w:val="25"/>
    <w:semiHidden/>
    <w:qFormat/>
    <w:rsid w:val="00CC16BE"/>
    <w:pPr>
      <w:pBdr>
        <w:top w:val="single" w:sz="8" w:space="20" w:color="3CEB9D" w:themeColor="accent5"/>
        <w:bottom w:val="dotted" w:sz="2" w:space="8" w:color="E6E6E6" w:themeColor="accent3"/>
      </w:pBdr>
      <w:spacing w:before="40" w:after="40" w:line="240" w:lineRule="auto"/>
    </w:pPr>
    <w:rPr>
      <w:rFonts w:asciiTheme="majorHAnsi" w:hAnsiTheme="majorHAnsi"/>
      <w:color w:val="ACAEAC" w:themeColor="accent2"/>
      <w:sz w:val="24"/>
    </w:rPr>
  </w:style>
  <w:style w:type="character" w:customStyle="1" w:styleId="Heading8Char">
    <w:name w:val="Heading 8 Char"/>
    <w:basedOn w:val="DefaultParagraphFont"/>
    <w:link w:val="Heading8"/>
    <w:uiPriority w:val="2"/>
    <w:semiHidden/>
    <w:rsid w:val="00707FA1"/>
    <w:rPr>
      <w:rFonts w:asciiTheme="majorHAnsi" w:eastAsiaTheme="majorEastAsia" w:hAnsiTheme="majorHAnsi" w:cstheme="majorBidi"/>
      <w:color w:val="E6E6E6" w:themeColor="accent3"/>
      <w:sz w:val="21"/>
      <w:szCs w:val="21"/>
      <w:lang w:val="en-US"/>
    </w:rPr>
  </w:style>
  <w:style w:type="paragraph" w:customStyle="1" w:styleId="TableTitle">
    <w:name w:val="Table Title"/>
    <w:basedOn w:val="TableofFigures"/>
    <w:next w:val="Normal"/>
    <w:uiPriority w:val="3"/>
    <w:qFormat/>
    <w:rsid w:val="00920C33"/>
    <w:pPr>
      <w:numPr>
        <w:numId w:val="8"/>
      </w:numPr>
      <w:pBdr>
        <w:left w:val="single" w:sz="4" w:space="5" w:color="82009B" w:themeColor="accent6"/>
      </w:pBdr>
      <w:spacing w:before="160"/>
      <w:ind w:left="340" w:hanging="340"/>
    </w:pPr>
    <w:rPr>
      <w:noProof/>
      <w:color w:val="82009B" w:themeColor="accent6"/>
    </w:rPr>
  </w:style>
  <w:style w:type="paragraph" w:styleId="TableofFigures">
    <w:name w:val="table of figures"/>
    <w:basedOn w:val="Normal"/>
    <w:next w:val="Normal"/>
    <w:uiPriority w:val="99"/>
    <w:semiHidden/>
    <w:unhideWhenUsed/>
    <w:rsid w:val="00DD655F"/>
    <w:pPr>
      <w:spacing w:after="0"/>
    </w:pPr>
  </w:style>
  <w:style w:type="paragraph" w:styleId="IntenseQuote">
    <w:name w:val="Intense Quote"/>
    <w:basedOn w:val="Normal"/>
    <w:next w:val="Normal"/>
    <w:link w:val="IntenseQuoteChar"/>
    <w:uiPriority w:val="30"/>
    <w:semiHidden/>
    <w:qFormat/>
    <w:rsid w:val="003C0669"/>
    <w:pPr>
      <w:pBdr>
        <w:top w:val="single" w:sz="4" w:space="10" w:color="232323" w:themeColor="accent1"/>
        <w:bottom w:val="single" w:sz="4" w:space="10" w:color="232323" w:themeColor="accent1"/>
      </w:pBdr>
      <w:spacing w:before="360" w:after="360"/>
      <w:ind w:left="864" w:right="864"/>
      <w:jc w:val="center"/>
    </w:pPr>
    <w:rPr>
      <w:i/>
      <w:iCs/>
      <w:color w:val="232323" w:themeColor="accent1"/>
    </w:rPr>
  </w:style>
  <w:style w:type="character" w:customStyle="1" w:styleId="IntenseQuoteChar">
    <w:name w:val="Intense Quote Char"/>
    <w:basedOn w:val="DefaultParagraphFont"/>
    <w:link w:val="IntenseQuote"/>
    <w:uiPriority w:val="30"/>
    <w:semiHidden/>
    <w:rsid w:val="00707FA1"/>
    <w:rPr>
      <w:i/>
      <w:iCs/>
      <w:color w:val="232323" w:themeColor="accent1"/>
      <w:lang w:val="en-US"/>
    </w:rPr>
  </w:style>
  <w:style w:type="paragraph" w:styleId="Quote">
    <w:name w:val="Quote"/>
    <w:basedOn w:val="Normal"/>
    <w:next w:val="Normal"/>
    <w:link w:val="QuoteChar"/>
    <w:uiPriority w:val="29"/>
    <w:semiHidden/>
    <w:qFormat/>
    <w:rsid w:val="003C0669"/>
    <w:pPr>
      <w:spacing w:before="200"/>
      <w:ind w:left="864" w:right="864"/>
      <w:jc w:val="center"/>
    </w:pPr>
    <w:rPr>
      <w:i/>
      <w:iCs/>
      <w:color w:val="5A5A5A" w:themeColor="text1" w:themeTint="BF"/>
    </w:rPr>
  </w:style>
  <w:style w:type="character" w:customStyle="1" w:styleId="QuoteChar">
    <w:name w:val="Quote Char"/>
    <w:basedOn w:val="DefaultParagraphFont"/>
    <w:link w:val="Quote"/>
    <w:uiPriority w:val="29"/>
    <w:semiHidden/>
    <w:rsid w:val="00707FA1"/>
    <w:rPr>
      <w:i/>
      <w:iCs/>
      <w:color w:val="5A5A5A" w:themeColor="text1" w:themeTint="BF"/>
      <w:lang w:val="en-US"/>
    </w:rPr>
  </w:style>
  <w:style w:type="paragraph" w:customStyle="1" w:styleId="NumberedDarkBlock">
    <w:name w:val="Numbered Dark Block"/>
    <w:basedOn w:val="SectionHeader"/>
    <w:uiPriority w:val="14"/>
    <w:qFormat/>
    <w:rsid w:val="00DD7BC4"/>
    <w:pPr>
      <w:pBdr>
        <w:top w:val="single" w:sz="48" w:space="31" w:color="232323" w:themeColor="text1"/>
        <w:left w:val="single" w:sz="48" w:space="31" w:color="232323" w:themeColor="text1"/>
        <w:bottom w:val="single" w:sz="48" w:space="31" w:color="232323" w:themeColor="text1"/>
        <w:right w:val="single" w:sz="48" w:space="31" w:color="232323" w:themeColor="text1"/>
      </w:pBdr>
      <w:shd w:val="clear" w:color="auto" w:fill="232323" w:themeFill="text1"/>
      <w:spacing w:before="120" w:line="276" w:lineRule="auto"/>
      <w:ind w:left="-68" w:right="-68"/>
    </w:pPr>
    <w:rPr>
      <w:color w:val="auto"/>
      <w:sz w:val="56"/>
    </w:rPr>
  </w:style>
  <w:style w:type="table" w:styleId="ListTable3-Accent4">
    <w:name w:val="List Table 3 Accent 4"/>
    <w:basedOn w:val="TableNormal"/>
    <w:uiPriority w:val="48"/>
    <w:rsid w:val="0046767C"/>
    <w:pPr>
      <w:spacing w:after="0" w:line="240" w:lineRule="auto"/>
    </w:pPr>
    <w:tblPr>
      <w:tblStyleRowBandSize w:val="1"/>
      <w:tblStyleColBandSize w:val="1"/>
      <w:tblBorders>
        <w:top w:val="single" w:sz="4" w:space="0" w:color="EBFE41" w:themeColor="accent4"/>
        <w:left w:val="single" w:sz="4" w:space="0" w:color="EBFE41" w:themeColor="accent4"/>
        <w:bottom w:val="single" w:sz="4" w:space="0" w:color="EBFE41" w:themeColor="accent4"/>
        <w:right w:val="single" w:sz="4" w:space="0" w:color="EBFE41" w:themeColor="accent4"/>
      </w:tblBorders>
    </w:tblPr>
    <w:tblStylePr w:type="firstRow">
      <w:rPr>
        <w:b/>
        <w:bCs/>
        <w:color w:val="FEFEFE" w:themeColor="background1"/>
      </w:rPr>
      <w:tblPr/>
      <w:tcPr>
        <w:shd w:val="clear" w:color="auto" w:fill="EBFE41" w:themeFill="accent4"/>
      </w:tcPr>
    </w:tblStylePr>
    <w:tblStylePr w:type="lastRow">
      <w:rPr>
        <w:b/>
        <w:bCs/>
      </w:rPr>
      <w:tblPr/>
      <w:tcPr>
        <w:tcBorders>
          <w:top w:val="double" w:sz="4" w:space="0" w:color="EBFE41" w:themeColor="accent4"/>
        </w:tcBorders>
        <w:shd w:val="clear" w:color="auto" w:fill="FEFEFE" w:themeFill="background1"/>
      </w:tcPr>
    </w:tblStylePr>
    <w:tblStylePr w:type="firstCol">
      <w:rPr>
        <w:b/>
        <w:bCs/>
      </w:rPr>
      <w:tblPr/>
      <w:tcPr>
        <w:tcBorders>
          <w:right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EBFE41" w:themeColor="accent4"/>
          <w:right w:val="single" w:sz="4" w:space="0" w:color="EBFE41" w:themeColor="accent4"/>
        </w:tcBorders>
      </w:tcPr>
    </w:tblStylePr>
    <w:tblStylePr w:type="band1Horz">
      <w:tblPr/>
      <w:tcPr>
        <w:tcBorders>
          <w:top w:val="single" w:sz="4" w:space="0" w:color="EBFE41" w:themeColor="accent4"/>
          <w:bottom w:val="single" w:sz="4" w:space="0" w:color="EBFE4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FE41" w:themeColor="accent4"/>
          <w:left w:val="nil"/>
        </w:tcBorders>
      </w:tcPr>
    </w:tblStylePr>
    <w:tblStylePr w:type="swCell">
      <w:tblPr/>
      <w:tcPr>
        <w:tcBorders>
          <w:top w:val="double" w:sz="4" w:space="0" w:color="EBFE41" w:themeColor="accent4"/>
          <w:right w:val="nil"/>
        </w:tcBorders>
      </w:tcPr>
    </w:tblStylePr>
  </w:style>
  <w:style w:type="table" w:styleId="GridTable5Dark">
    <w:name w:val="Grid Table 5 Dark"/>
    <w:basedOn w:val="TableNormal"/>
    <w:uiPriority w:val="50"/>
    <w:rsid w:val="00E90C6C"/>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D3D3D3" w:themeFill="tex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tex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text1"/>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text1"/>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232323" w:themeFill="text1"/>
      </w:tcPr>
    </w:tblStylePr>
    <w:tblStylePr w:type="band1Vert">
      <w:tblPr/>
      <w:tcPr>
        <w:shd w:val="clear" w:color="auto" w:fill="A7A7A7" w:themeFill="text1" w:themeFillTint="66"/>
      </w:tcPr>
    </w:tblStylePr>
    <w:tblStylePr w:type="band1Horz">
      <w:tblPr/>
      <w:tcPr>
        <w:shd w:val="clear" w:color="auto" w:fill="A7A7A7" w:themeFill="text1" w:themeFillTint="66"/>
      </w:tcPr>
    </w:tblStylePr>
  </w:style>
  <w:style w:type="table" w:styleId="GridTable4-Accent1">
    <w:name w:val="Grid Table 4 Accent 1"/>
    <w:basedOn w:val="TableNormal"/>
    <w:uiPriority w:val="49"/>
    <w:rsid w:val="00E90C6C"/>
    <w:pPr>
      <w:spacing w:after="0" w:line="240" w:lineRule="auto"/>
    </w:p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insideV w:val="single" w:sz="4" w:space="0" w:color="7B7B7B" w:themeColor="accent1" w:themeTint="99"/>
      </w:tblBorders>
    </w:tblPr>
    <w:tblStylePr w:type="firstRow">
      <w:rPr>
        <w:b/>
        <w:bCs/>
        <w:color w:val="FEFEFE" w:themeColor="background1"/>
      </w:rPr>
      <w:tblPr/>
      <w:tcPr>
        <w:tcBorders>
          <w:top w:val="single" w:sz="4" w:space="0" w:color="232323" w:themeColor="accent1"/>
          <w:left w:val="single" w:sz="4" w:space="0" w:color="232323" w:themeColor="accent1"/>
          <w:bottom w:val="single" w:sz="4" w:space="0" w:color="232323" w:themeColor="accent1"/>
          <w:right w:val="single" w:sz="4" w:space="0" w:color="232323" w:themeColor="accent1"/>
          <w:insideH w:val="nil"/>
          <w:insideV w:val="nil"/>
        </w:tcBorders>
        <w:shd w:val="clear" w:color="auto" w:fill="232323" w:themeFill="accent1"/>
      </w:tcPr>
    </w:tblStylePr>
    <w:tblStylePr w:type="lastRow">
      <w:rPr>
        <w:b/>
        <w:bCs/>
      </w:rPr>
      <w:tblPr/>
      <w:tcPr>
        <w:tcBorders>
          <w:top w:val="double" w:sz="4" w:space="0" w:color="232323" w:themeColor="accent1"/>
        </w:tcBorders>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table" w:styleId="GridTable4">
    <w:name w:val="Grid Table 4"/>
    <w:basedOn w:val="TableNormal"/>
    <w:uiPriority w:val="49"/>
    <w:rsid w:val="00E90C6C"/>
    <w:pPr>
      <w:spacing w:after="0" w:line="240" w:lineRule="auto"/>
    </w:pPr>
    <w:tblPr>
      <w:tblStyleRowBandSize w:val="1"/>
      <w:tblStyleColBandSize w:val="1"/>
      <w:tblBorders>
        <w:top w:val="single" w:sz="4" w:space="0" w:color="7B7B7B" w:themeColor="text1" w:themeTint="99"/>
        <w:left w:val="single" w:sz="4" w:space="0" w:color="7B7B7B" w:themeColor="text1" w:themeTint="99"/>
        <w:bottom w:val="single" w:sz="4" w:space="0" w:color="7B7B7B" w:themeColor="text1" w:themeTint="99"/>
        <w:right w:val="single" w:sz="4" w:space="0" w:color="7B7B7B" w:themeColor="text1" w:themeTint="99"/>
        <w:insideH w:val="single" w:sz="4" w:space="0" w:color="7B7B7B" w:themeColor="text1" w:themeTint="99"/>
        <w:insideV w:val="single" w:sz="4" w:space="0" w:color="7B7B7B" w:themeColor="text1" w:themeTint="99"/>
      </w:tblBorders>
    </w:tblPr>
    <w:tblStylePr w:type="firstRow">
      <w:rPr>
        <w:b/>
        <w:bCs/>
        <w:color w:val="FEFEFE" w:themeColor="background1"/>
      </w:rPr>
      <w:tblPr/>
      <w:tcPr>
        <w:tcBorders>
          <w:top w:val="single" w:sz="4" w:space="0" w:color="232323" w:themeColor="text1"/>
          <w:left w:val="single" w:sz="4" w:space="0" w:color="232323" w:themeColor="text1"/>
          <w:bottom w:val="single" w:sz="4" w:space="0" w:color="232323" w:themeColor="text1"/>
          <w:right w:val="single" w:sz="4" w:space="0" w:color="232323" w:themeColor="text1"/>
          <w:insideH w:val="nil"/>
          <w:insideV w:val="nil"/>
        </w:tcBorders>
        <w:shd w:val="clear" w:color="auto" w:fill="232323" w:themeFill="text1"/>
      </w:tcPr>
    </w:tblStylePr>
    <w:tblStylePr w:type="lastRow">
      <w:rPr>
        <w:b/>
        <w:bCs/>
      </w:rPr>
      <w:tblPr/>
      <w:tcPr>
        <w:tcBorders>
          <w:top w:val="double" w:sz="4" w:space="0" w:color="232323" w:themeColor="text1"/>
        </w:tcBorders>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GridTable3">
    <w:name w:val="Grid Table 3"/>
    <w:basedOn w:val="TableNormal"/>
    <w:uiPriority w:val="48"/>
    <w:rsid w:val="009610F4"/>
    <w:pPr>
      <w:spacing w:after="0" w:line="240" w:lineRule="auto"/>
    </w:pPr>
    <w:tblPr>
      <w:tblStyleRowBandSize w:val="1"/>
      <w:tblStyleColBandSize w:val="1"/>
      <w:tblBorders>
        <w:top w:val="single" w:sz="4" w:space="0" w:color="7B7B7B" w:themeColor="text1" w:themeTint="99"/>
        <w:left w:val="single" w:sz="4" w:space="0" w:color="7B7B7B" w:themeColor="text1" w:themeTint="99"/>
        <w:bottom w:val="single" w:sz="4" w:space="0" w:color="7B7B7B" w:themeColor="text1" w:themeTint="99"/>
        <w:right w:val="single" w:sz="4" w:space="0" w:color="7B7B7B" w:themeColor="text1" w:themeTint="99"/>
        <w:insideH w:val="single" w:sz="4" w:space="0" w:color="7B7B7B" w:themeColor="text1" w:themeTint="99"/>
        <w:insideV w:val="single" w:sz="4" w:space="0" w:color="7B7B7B" w:themeColor="text1" w:themeTint="99"/>
      </w:tblBorders>
    </w:tblPr>
    <w:tblStylePr w:type="firstRow">
      <w:rPr>
        <w:b/>
        <w:bCs/>
      </w:rPr>
      <w:tblPr/>
      <w:tcPr>
        <w:tcBorders>
          <w:top w:val="nil"/>
          <w:left w:val="nil"/>
          <w:right w:val="nil"/>
          <w:insideH w:val="nil"/>
          <w:insideV w:val="nil"/>
        </w:tcBorders>
        <w:shd w:val="clear" w:color="auto" w:fill="FEFEFE" w:themeFill="background1"/>
      </w:tcPr>
    </w:tblStylePr>
    <w:tblStylePr w:type="lastRow">
      <w:rPr>
        <w:b/>
        <w:bCs/>
      </w:rPr>
      <w:tblPr/>
      <w:tcPr>
        <w:tcBorders>
          <w:left w:val="nil"/>
          <w:bottom w:val="nil"/>
          <w:right w:val="nil"/>
          <w:insideH w:val="nil"/>
          <w:insideV w:val="nil"/>
        </w:tcBorders>
        <w:shd w:val="clear" w:color="auto" w:fill="FEFEFE" w:themeFill="background1"/>
      </w:tcPr>
    </w:tblStylePr>
    <w:tblStylePr w:type="firstCol">
      <w:pPr>
        <w:jc w:val="right"/>
      </w:pPr>
      <w:rPr>
        <w:b/>
        <w:i w:val="0"/>
        <w:iCs/>
      </w:rPr>
      <w:tblPr/>
      <w:tcPr>
        <w:tcBorders>
          <w:top w:val="nil"/>
          <w:left w:val="nil"/>
          <w:bottom w:val="nil"/>
          <w:insideH w:val="nil"/>
          <w:insideV w:val="nil"/>
        </w:tcBorders>
        <w:shd w:val="clear" w:color="auto" w:fill="FEFEFE" w:themeFill="background1"/>
      </w:tcPr>
    </w:tblStylePr>
    <w:tblStylePr w:type="lastCol">
      <w:rPr>
        <w:i/>
        <w:iCs/>
      </w:rPr>
      <w:tblPr/>
      <w:tcPr>
        <w:tcBorders>
          <w:top w:val="nil"/>
          <w:bottom w:val="nil"/>
          <w:right w:val="nil"/>
          <w:insideH w:val="nil"/>
          <w:insideV w:val="nil"/>
        </w:tcBorders>
        <w:shd w:val="clear" w:color="auto" w:fill="FEFEFE" w:themeFill="background1"/>
      </w:tcPr>
    </w:tblStylePr>
    <w:tblStylePr w:type="band1Vert">
      <w:tblPr/>
      <w:tcPr>
        <w:shd w:val="clear" w:color="auto" w:fill="D3D3D3" w:themeFill="text1" w:themeFillTint="33"/>
      </w:tcPr>
    </w:tblStylePr>
    <w:tblStylePr w:type="band1Horz">
      <w:tblPr/>
      <w:tcPr>
        <w:shd w:val="clear" w:color="auto" w:fill="D3D3D3" w:themeFill="text1" w:themeFillTint="33"/>
      </w:tcPr>
    </w:tblStylePr>
    <w:tblStylePr w:type="neCell">
      <w:tblPr/>
      <w:tcPr>
        <w:tcBorders>
          <w:bottom w:val="single" w:sz="4" w:space="0" w:color="7B7B7B" w:themeColor="text1" w:themeTint="99"/>
        </w:tcBorders>
      </w:tcPr>
    </w:tblStylePr>
    <w:tblStylePr w:type="nwCell">
      <w:rPr>
        <w:color w:val="FEFEFE" w:themeColor="background1"/>
      </w:rPr>
      <w:tblPr/>
      <w:tcPr>
        <w:tcBorders>
          <w:top w:val="single" w:sz="4" w:space="0" w:color="232323" w:themeColor="text1"/>
          <w:left w:val="single" w:sz="4" w:space="0" w:color="232323" w:themeColor="text1"/>
          <w:bottom w:val="single" w:sz="4" w:space="0" w:color="232323" w:themeColor="text1"/>
          <w:right w:val="single" w:sz="4" w:space="0" w:color="232323" w:themeColor="text1"/>
          <w:insideH w:val="nil"/>
          <w:insideV w:val="nil"/>
          <w:tl2br w:val="nil"/>
          <w:tr2bl w:val="nil"/>
        </w:tcBorders>
        <w:shd w:val="clear" w:color="auto" w:fill="232323" w:themeFill="text1"/>
      </w:tcPr>
    </w:tblStylePr>
    <w:tblStylePr w:type="seCell">
      <w:tblPr/>
      <w:tcPr>
        <w:tcBorders>
          <w:top w:val="single" w:sz="4" w:space="0" w:color="7B7B7B" w:themeColor="text1" w:themeTint="99"/>
        </w:tcBorders>
      </w:tcPr>
    </w:tblStylePr>
    <w:tblStylePr w:type="swCell">
      <w:tblPr/>
      <w:tcPr>
        <w:tcBorders>
          <w:top w:val="single" w:sz="4" w:space="0" w:color="7B7B7B" w:themeColor="text1" w:themeTint="99"/>
        </w:tcBorders>
      </w:tcPr>
    </w:tblStylePr>
  </w:style>
  <w:style w:type="table" w:styleId="ListTable3">
    <w:name w:val="List Table 3"/>
    <w:basedOn w:val="TableNormal"/>
    <w:uiPriority w:val="48"/>
    <w:rsid w:val="00E90C6C"/>
    <w:pPr>
      <w:spacing w:after="0" w:line="240" w:lineRule="auto"/>
    </w:pPr>
    <w:tblPr>
      <w:tblStyleRowBandSize w:val="1"/>
      <w:tblStyleColBandSize w:val="1"/>
      <w:tblBorders>
        <w:top w:val="single" w:sz="4" w:space="0" w:color="232323" w:themeColor="text1"/>
        <w:left w:val="single" w:sz="4" w:space="0" w:color="232323" w:themeColor="text1"/>
        <w:bottom w:val="single" w:sz="4" w:space="0" w:color="232323" w:themeColor="text1"/>
        <w:right w:val="single" w:sz="4" w:space="0" w:color="232323" w:themeColor="text1"/>
      </w:tblBorders>
    </w:tblPr>
    <w:tblStylePr w:type="firstRow">
      <w:rPr>
        <w:b/>
        <w:bCs/>
        <w:color w:val="FEFEFE" w:themeColor="background1"/>
      </w:rPr>
      <w:tblPr/>
      <w:tcPr>
        <w:shd w:val="clear" w:color="auto" w:fill="232323" w:themeFill="text1"/>
      </w:tcPr>
    </w:tblStylePr>
    <w:tblStylePr w:type="lastRow">
      <w:rPr>
        <w:b/>
        <w:bCs/>
      </w:rPr>
      <w:tblPr/>
      <w:tcPr>
        <w:tcBorders>
          <w:top w:val="double" w:sz="4" w:space="0" w:color="232323" w:themeColor="text1"/>
        </w:tcBorders>
        <w:shd w:val="clear" w:color="auto" w:fill="FEFEFE" w:themeFill="background1"/>
      </w:tcPr>
    </w:tblStylePr>
    <w:tblStylePr w:type="firstCol">
      <w:rPr>
        <w:b/>
        <w:bCs/>
      </w:rPr>
      <w:tblPr/>
      <w:tcPr>
        <w:tcBorders>
          <w:right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single" w:sz="4" w:space="0" w:color="232323" w:themeColor="text1"/>
          <w:right w:val="single" w:sz="4" w:space="0" w:color="232323" w:themeColor="text1"/>
        </w:tcBorders>
      </w:tcPr>
    </w:tblStylePr>
    <w:tblStylePr w:type="band1Horz">
      <w:tblPr/>
      <w:tcPr>
        <w:tcBorders>
          <w:top w:val="single" w:sz="4" w:space="0" w:color="232323" w:themeColor="text1"/>
          <w:bottom w:val="single" w:sz="4" w:space="0" w:color="232323"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323" w:themeColor="text1"/>
          <w:left w:val="nil"/>
        </w:tcBorders>
      </w:tcPr>
    </w:tblStylePr>
    <w:tblStylePr w:type="swCell">
      <w:tblPr/>
      <w:tcPr>
        <w:tcBorders>
          <w:top w:val="double" w:sz="4" w:space="0" w:color="232323" w:themeColor="text1"/>
          <w:right w:val="nil"/>
        </w:tcBorders>
      </w:tcPr>
    </w:tblStylePr>
  </w:style>
  <w:style w:type="table" w:styleId="GridTable2">
    <w:name w:val="Grid Table 2"/>
    <w:basedOn w:val="TableNormal"/>
    <w:uiPriority w:val="47"/>
    <w:rsid w:val="00F1771B"/>
    <w:pPr>
      <w:spacing w:after="0" w:line="240" w:lineRule="auto"/>
    </w:pPr>
    <w:tblPr>
      <w:tblStyleRowBandSize w:val="1"/>
      <w:tblStyleColBandSize w:val="1"/>
      <w:tblBorders>
        <w:top w:val="single" w:sz="2" w:space="0" w:color="7B7B7B" w:themeColor="text1" w:themeTint="99"/>
        <w:bottom w:val="single" w:sz="2" w:space="0" w:color="7B7B7B" w:themeColor="text1" w:themeTint="99"/>
        <w:insideH w:val="single" w:sz="2" w:space="0" w:color="7B7B7B" w:themeColor="text1" w:themeTint="99"/>
        <w:insideV w:val="single" w:sz="2" w:space="0" w:color="7B7B7B" w:themeColor="text1" w:themeTint="99"/>
      </w:tblBorders>
    </w:tblPr>
    <w:tblStylePr w:type="firstRow">
      <w:rPr>
        <w:b/>
        <w:bCs/>
      </w:rPr>
      <w:tblPr/>
      <w:tcPr>
        <w:tcBorders>
          <w:top w:val="nil"/>
          <w:bottom w:val="single" w:sz="12" w:space="0" w:color="7B7B7B" w:themeColor="text1" w:themeTint="99"/>
          <w:insideH w:val="nil"/>
          <w:insideV w:val="nil"/>
        </w:tcBorders>
        <w:shd w:val="clear" w:color="auto" w:fill="FEFEFE" w:themeFill="background1"/>
      </w:tcPr>
    </w:tblStylePr>
    <w:tblStylePr w:type="lastRow">
      <w:rPr>
        <w:b/>
        <w:bCs/>
      </w:rPr>
      <w:tblPr/>
      <w:tcPr>
        <w:tcBorders>
          <w:top w:val="double" w:sz="2" w:space="0" w:color="7B7B7B" w:themeColor="text1" w:themeTint="99"/>
          <w:bottom w:val="nil"/>
          <w:insideH w:val="nil"/>
          <w:insideV w:val="nil"/>
        </w:tcBorders>
        <w:shd w:val="clear" w:color="auto" w:fill="FEFEFE" w:themeFill="background1"/>
      </w:tcPr>
    </w:tblStylePr>
    <w:tblStylePr w:type="firstCol">
      <w:rPr>
        <w:b/>
        <w:bCs/>
      </w:rPr>
    </w:tblStylePr>
    <w:tblStylePr w:type="lastCol">
      <w:rPr>
        <w:b/>
        <w:bCs/>
      </w:rPr>
    </w:tblStylePr>
    <w:tblStylePr w:type="band1Vert">
      <w:tblPr/>
      <w:tcPr>
        <w:shd w:val="clear" w:color="auto" w:fill="D3D3D3" w:themeFill="text1" w:themeFillTint="33"/>
      </w:tcPr>
    </w:tblStylePr>
    <w:tblStylePr w:type="band1Horz">
      <w:tblPr/>
      <w:tcPr>
        <w:shd w:val="clear" w:color="auto" w:fill="D3D3D3" w:themeFill="text1" w:themeFillTint="33"/>
      </w:tcPr>
    </w:tblStylePr>
  </w:style>
  <w:style w:type="table" w:styleId="ListTable4-Accent1">
    <w:name w:val="List Table 4 Accent 1"/>
    <w:basedOn w:val="TableNormal"/>
    <w:uiPriority w:val="49"/>
    <w:rsid w:val="005044D3"/>
    <w:pPr>
      <w:spacing w:after="0" w:line="240" w:lineRule="auto"/>
    </w:pPr>
    <w:tblPr>
      <w:tblStyleRowBandSize w:val="1"/>
      <w:tblStyleColBandSize w:val="1"/>
      <w:tblBorders>
        <w:top w:val="single" w:sz="4" w:space="0" w:color="7B7B7B" w:themeColor="accent1" w:themeTint="99"/>
        <w:left w:val="single" w:sz="4" w:space="0" w:color="7B7B7B" w:themeColor="accent1" w:themeTint="99"/>
        <w:bottom w:val="single" w:sz="4" w:space="0" w:color="7B7B7B" w:themeColor="accent1" w:themeTint="99"/>
        <w:right w:val="single" w:sz="4" w:space="0" w:color="7B7B7B" w:themeColor="accent1" w:themeTint="99"/>
        <w:insideH w:val="single" w:sz="4" w:space="0" w:color="7B7B7B" w:themeColor="accent1" w:themeTint="99"/>
      </w:tblBorders>
    </w:tblPr>
    <w:tblStylePr w:type="firstRow">
      <w:rPr>
        <w:b/>
        <w:bCs/>
        <w:color w:val="FEFEFE" w:themeColor="background1"/>
      </w:rPr>
      <w:tblPr/>
      <w:tcPr>
        <w:tcBorders>
          <w:top w:val="single" w:sz="4" w:space="0" w:color="232323" w:themeColor="accent1"/>
          <w:left w:val="single" w:sz="4" w:space="0" w:color="232323" w:themeColor="accent1"/>
          <w:bottom w:val="single" w:sz="4" w:space="0" w:color="232323" w:themeColor="accent1"/>
          <w:right w:val="single" w:sz="4" w:space="0" w:color="232323" w:themeColor="accent1"/>
          <w:insideH w:val="nil"/>
        </w:tcBorders>
        <w:shd w:val="clear" w:color="auto" w:fill="232323" w:themeFill="accent1"/>
      </w:tcPr>
    </w:tblStylePr>
    <w:tblStylePr w:type="lastRow">
      <w:rPr>
        <w:b/>
        <w:bCs/>
      </w:rPr>
      <w:tblPr/>
      <w:tcPr>
        <w:tcBorders>
          <w:top w:val="double" w:sz="4" w:space="0" w:color="7B7B7B" w:themeColor="accent1" w:themeTint="99"/>
        </w:tcBorders>
      </w:tcPr>
    </w:tblStylePr>
    <w:tblStylePr w:type="firstCol">
      <w:rPr>
        <w:b/>
        <w:bCs/>
      </w:rPr>
    </w:tblStylePr>
    <w:tblStylePr w:type="lastCol">
      <w:rPr>
        <w:b/>
        <w:bCs/>
      </w:rPr>
    </w:tblStylePr>
    <w:tblStylePr w:type="band1Vert">
      <w:tblPr/>
      <w:tcPr>
        <w:shd w:val="clear" w:color="auto" w:fill="D3D3D3" w:themeFill="accent1" w:themeFillTint="33"/>
      </w:tcPr>
    </w:tblStylePr>
    <w:tblStylePr w:type="band1Horz">
      <w:tblPr/>
      <w:tcPr>
        <w:shd w:val="clear" w:color="auto" w:fill="D3D3D3" w:themeFill="accent1" w:themeFillTint="33"/>
      </w:tcPr>
    </w:tblStylePr>
  </w:style>
  <w:style w:type="paragraph" w:styleId="ListParagraph">
    <w:name w:val="List Paragraph"/>
    <w:basedOn w:val="Normal"/>
    <w:uiPriority w:val="34"/>
    <w:semiHidden/>
    <w:qFormat/>
    <w:rsid w:val="001555D2"/>
    <w:pPr>
      <w:ind w:left="720"/>
      <w:contextualSpacing/>
    </w:pPr>
  </w:style>
  <w:style w:type="table" w:customStyle="1" w:styleId="CivittaTable2DarkGrey">
    <w:name w:val="Civitta Table 2 Dark Grey"/>
    <w:basedOn w:val="GridTable5Dark-Accent1"/>
    <w:uiPriority w:val="99"/>
    <w:rsid w:val="00BC03FA"/>
    <w:tblPr>
      <w:tblCellMar>
        <w:top w:w="85" w:type="dxa"/>
        <w:bottom w:w="85" w:type="dxa"/>
      </w:tblCellMar>
    </w:tbl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accen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rPr>
        <w:b/>
        <w:bCs/>
        <w:color w:val="auto"/>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auto"/>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E6E6E6" w:themeFill="accent3"/>
      </w:tcPr>
    </w:tblStylePr>
    <w:tblStylePr w:type="band1Vert">
      <w:tblPr/>
      <w:tcPr>
        <w:shd w:val="clear" w:color="auto" w:fill="A7A7A7" w:themeFill="accent1" w:themeFillTint="66"/>
      </w:tcPr>
    </w:tblStylePr>
    <w:tblStylePr w:type="band1Horz">
      <w:tblPr/>
      <w:tcPr>
        <w:shd w:val="clear" w:color="auto" w:fill="CDCECD" w:themeFill="accent2" w:themeFillTint="99"/>
      </w:tcPr>
    </w:tblStylePr>
    <w:tblStylePr w:type="band2Horz">
      <w:tblPr/>
      <w:tcPr>
        <w:shd w:val="clear" w:color="auto" w:fill="FEFEFE" w:themeFill="background1"/>
      </w:tcPr>
    </w:tblStylePr>
  </w:style>
  <w:style w:type="table" w:customStyle="1" w:styleId="CivittaTable2Green">
    <w:name w:val="Civitta Table 2 Green"/>
    <w:basedOn w:val="CivittaTable2DarkGrey"/>
    <w:uiPriority w:val="99"/>
    <w:rsid w:val="00BC03FA"/>
    <w:tbl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accen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rPr>
        <w:b/>
        <w:bCs/>
        <w:color w:val="auto"/>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auto"/>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B1F7D7" w:themeFill="accent5" w:themeFillTint="66"/>
      </w:tcPr>
    </w:tblStylePr>
    <w:tblStylePr w:type="band1Vert">
      <w:tblPr/>
      <w:tcPr>
        <w:shd w:val="clear" w:color="auto" w:fill="A7A7A7" w:themeFill="accent1" w:themeFillTint="66"/>
      </w:tcPr>
    </w:tblStylePr>
    <w:tblStylePr w:type="band1Horz">
      <w:tblPr/>
      <w:tcPr>
        <w:shd w:val="clear" w:color="auto" w:fill="CDCECD" w:themeFill="accent2" w:themeFillTint="99"/>
      </w:tcPr>
    </w:tblStylePr>
    <w:tblStylePr w:type="band2Horz">
      <w:tblPr/>
      <w:tcPr>
        <w:shd w:val="clear" w:color="auto" w:fill="FEFEFE" w:themeFill="background1"/>
      </w:tcPr>
    </w:tblStylePr>
    <w:tblStylePr w:type="neCell">
      <w:tblPr/>
      <w:tcPr>
        <w:shd w:val="clear" w:color="auto" w:fill="3CEB9D" w:themeFill="accent5"/>
      </w:tcPr>
    </w:tblStylePr>
  </w:style>
  <w:style w:type="table" w:styleId="GridTable5Dark-Accent1">
    <w:name w:val="Grid Table 5 Dark Accent 1"/>
    <w:basedOn w:val="TableNormal"/>
    <w:uiPriority w:val="50"/>
    <w:rsid w:val="00974A63"/>
    <w:pPr>
      <w:spacing w:after="0" w:line="240" w:lineRule="auto"/>
    </w:pPr>
    <w:tblPr>
      <w:tblStyleRowBandSize w:val="1"/>
      <w:tblStyleColBandSize w:val="1"/>
      <w:tblBorders>
        <w:top w:val="single" w:sz="4" w:space="0" w:color="FEFEFE" w:themeColor="background1"/>
        <w:left w:val="single" w:sz="4" w:space="0" w:color="FEFEFE" w:themeColor="background1"/>
        <w:bottom w:val="single" w:sz="4" w:space="0" w:color="FEFEFE" w:themeColor="background1"/>
        <w:right w:val="single" w:sz="4" w:space="0" w:color="FEFEFE" w:themeColor="background1"/>
        <w:insideH w:val="single" w:sz="4" w:space="0" w:color="FEFEFE" w:themeColor="background1"/>
        <w:insideV w:val="single" w:sz="4" w:space="0" w:color="FEFEFE" w:themeColor="background1"/>
      </w:tblBorders>
    </w:tblPr>
    <w:tcPr>
      <w:shd w:val="clear" w:color="auto" w:fill="D3D3D3" w:themeFill="accent1" w:themeFillTint="33"/>
    </w:tc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accen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rPr>
        <w:b/>
        <w:bCs/>
        <w:color w:val="FEFEFE" w:themeColor="background1"/>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FEFEFE" w:themeColor="background1"/>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232323" w:themeFill="accent1"/>
      </w:tcPr>
    </w:tblStylePr>
    <w:tblStylePr w:type="band1Vert">
      <w:tblPr/>
      <w:tcPr>
        <w:shd w:val="clear" w:color="auto" w:fill="A7A7A7" w:themeFill="accent1" w:themeFillTint="66"/>
      </w:tcPr>
    </w:tblStylePr>
    <w:tblStylePr w:type="band1Horz">
      <w:tblPr/>
      <w:tcPr>
        <w:shd w:val="clear" w:color="auto" w:fill="A7A7A7" w:themeFill="accent1" w:themeFillTint="66"/>
      </w:tcPr>
    </w:tblStylePr>
  </w:style>
  <w:style w:type="table" w:customStyle="1" w:styleId="CivittaTable2Purple">
    <w:name w:val="Civitta Table 2 Purple"/>
    <w:basedOn w:val="CivittaTable2DarkGrey"/>
    <w:uiPriority w:val="99"/>
    <w:rsid w:val="00BC03FA"/>
    <w:tbl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232323" w:themeFill="accent1"/>
      </w:tcPr>
    </w:tblStylePr>
    <w:tblStylePr w:type="lastRow">
      <w:rPr>
        <w:b/>
        <w:bCs/>
        <w:color w:val="FEFEFE" w:themeColor="background1"/>
      </w:rPr>
      <w:tblPr/>
      <w:tcPr>
        <w:tcBorders>
          <w:left w:val="single" w:sz="4" w:space="0" w:color="FEFEFE" w:themeColor="background1"/>
          <w:bottom w:val="single" w:sz="4" w:space="0" w:color="FEFEFE" w:themeColor="background1"/>
          <w:right w:val="single" w:sz="4" w:space="0" w:color="FEFEFE" w:themeColor="background1"/>
          <w:insideH w:val="nil"/>
          <w:insideV w:val="nil"/>
        </w:tcBorders>
        <w:shd w:val="clear" w:color="auto" w:fill="232323" w:themeFill="accent1"/>
      </w:tcPr>
    </w:tblStylePr>
    <w:tblStylePr w:type="firstCol">
      <w:rPr>
        <w:b/>
        <w:bCs/>
        <w:color w:val="auto"/>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auto"/>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E771FF" w:themeFill="accent6" w:themeFillTint="66"/>
      </w:tcPr>
    </w:tblStylePr>
    <w:tblStylePr w:type="band1Vert">
      <w:tblPr/>
      <w:tcPr>
        <w:shd w:val="clear" w:color="auto" w:fill="A7A7A7" w:themeFill="accent1" w:themeFillTint="66"/>
      </w:tcPr>
    </w:tblStylePr>
    <w:tblStylePr w:type="band1Horz">
      <w:tblPr/>
      <w:tcPr>
        <w:shd w:val="clear" w:color="auto" w:fill="CDCECD" w:themeFill="accent2" w:themeFillTint="99"/>
      </w:tcPr>
    </w:tblStylePr>
    <w:tblStylePr w:type="band2Horz">
      <w:tblPr/>
      <w:tcPr>
        <w:shd w:val="clear" w:color="auto" w:fill="FEFEFE" w:themeFill="background1"/>
      </w:tcPr>
    </w:tblStylePr>
    <w:tblStylePr w:type="neCell">
      <w:tblPr/>
      <w:tcPr>
        <w:shd w:val="clear" w:color="auto" w:fill="82009B" w:themeFill="accent6"/>
      </w:tcPr>
    </w:tblStylePr>
  </w:style>
  <w:style w:type="table" w:customStyle="1" w:styleId="Style1">
    <w:name w:val="Style1"/>
    <w:basedOn w:val="CivittaTable2DarkGrey"/>
    <w:uiPriority w:val="99"/>
    <w:rsid w:val="00CC776E"/>
    <w:tblPr/>
    <w:tblStylePr w:type="firstRow">
      <w:rPr>
        <w:b/>
        <w:bCs/>
        <w:color w:val="FEFEFE" w:themeColor="background1"/>
      </w:rPr>
      <w:tblPr/>
      <w:tcPr>
        <w:tcBorders>
          <w:top w:val="single" w:sz="4" w:space="0" w:color="FEFEFE" w:themeColor="background1"/>
          <w:left w:val="single" w:sz="4" w:space="0" w:color="FEFEFE" w:themeColor="background1"/>
          <w:right w:val="single" w:sz="4" w:space="0" w:color="FEFEFE" w:themeColor="background1"/>
          <w:insideH w:val="nil"/>
          <w:insideV w:val="nil"/>
        </w:tcBorders>
        <w:shd w:val="clear" w:color="auto" w:fill="82009B" w:themeFill="accent6"/>
      </w:tcPr>
    </w:tblStylePr>
    <w:tblStylePr w:type="lastRow">
      <w:rPr>
        <w:b/>
        <w:bCs/>
        <w:color w:val="auto"/>
      </w:rPr>
      <w:tblPr/>
      <w:tcPr>
        <w:tcBorders>
          <w:top w:val="single" w:sz="12" w:space="0" w:color="82009B" w:themeColor="accent6"/>
          <w:left w:val="single" w:sz="4" w:space="0" w:color="FEFEFE" w:themeColor="background1"/>
          <w:bottom w:val="single" w:sz="4" w:space="0" w:color="FEFEFE" w:themeColor="background1"/>
          <w:right w:val="single" w:sz="4" w:space="0" w:color="FEFEFE" w:themeColor="background1"/>
          <w:insideH w:val="nil"/>
          <w:insideV w:val="nil"/>
        </w:tcBorders>
        <w:shd w:val="clear" w:color="auto" w:fill="C7C7C7" w:themeFill="accent1" w:themeFillTint="40"/>
      </w:tcPr>
    </w:tblStylePr>
    <w:tblStylePr w:type="firstCol">
      <w:rPr>
        <w:b/>
        <w:bCs/>
        <w:color w:val="auto"/>
      </w:rPr>
      <w:tblPr/>
      <w:tcPr>
        <w:tcBorders>
          <w:top w:val="single" w:sz="4" w:space="0" w:color="FEFEFE" w:themeColor="background1"/>
          <w:left w:val="single" w:sz="4" w:space="0" w:color="FEFEFE" w:themeColor="background1"/>
          <w:bottom w:val="single" w:sz="4" w:space="0" w:color="FEFEFE" w:themeColor="background1"/>
          <w:insideV w:val="nil"/>
        </w:tcBorders>
        <w:shd w:val="clear" w:color="auto" w:fill="232323" w:themeFill="accent1"/>
      </w:tcPr>
    </w:tblStylePr>
    <w:tblStylePr w:type="lastCol">
      <w:rPr>
        <w:b/>
        <w:bCs/>
        <w:color w:val="auto"/>
      </w:rPr>
      <w:tblPr/>
      <w:tcPr>
        <w:tcBorders>
          <w:top w:val="single" w:sz="4" w:space="0" w:color="FEFEFE" w:themeColor="background1"/>
          <w:bottom w:val="single" w:sz="4" w:space="0" w:color="FEFEFE" w:themeColor="background1"/>
          <w:right w:val="single" w:sz="4" w:space="0" w:color="FEFEFE" w:themeColor="background1"/>
          <w:insideV w:val="nil"/>
        </w:tcBorders>
        <w:shd w:val="clear" w:color="auto" w:fill="E6E6E6" w:themeFill="accent3"/>
      </w:tcPr>
    </w:tblStylePr>
    <w:tblStylePr w:type="band1Vert">
      <w:tblPr/>
      <w:tcPr>
        <w:shd w:val="clear" w:color="auto" w:fill="A7A7A7" w:themeFill="accent1" w:themeFillTint="66"/>
      </w:tcPr>
    </w:tblStylePr>
    <w:tblStylePr w:type="band1Horz">
      <w:tblPr/>
      <w:tcPr>
        <w:shd w:val="clear" w:color="auto" w:fill="CDCECD" w:themeFill="accent2" w:themeFillTint="99"/>
      </w:tcPr>
    </w:tblStylePr>
    <w:tblStylePr w:type="band2Horz">
      <w:tblPr/>
      <w:tcPr>
        <w:shd w:val="clear" w:color="auto" w:fill="EEEEEE" w:themeFill="accent2" w:themeFillTint="33"/>
      </w:tcPr>
    </w:tblStylePr>
    <w:tblStylePr w:type="nwCell">
      <w:tblPr/>
      <w:tcPr>
        <w:shd w:val="clear" w:color="auto" w:fill="232323" w:themeFill="text2"/>
      </w:tcPr>
    </w:tblStylePr>
    <w:tblStylePr w:type="swCell">
      <w:tblPr/>
      <w:tcPr>
        <w:tcBorders>
          <w:top w:val="single" w:sz="4" w:space="0" w:color="E8E8E8" w:themeColor="text1" w:themeTint="1A"/>
          <w:left w:val="single" w:sz="4" w:space="0" w:color="E8E8E8" w:themeColor="text1" w:themeTint="1A"/>
          <w:bottom w:val="single" w:sz="4" w:space="0" w:color="E8E8E8" w:themeColor="text1" w:themeTint="1A"/>
          <w:right w:val="single" w:sz="4" w:space="0" w:color="E8E8E8" w:themeColor="text1" w:themeTint="1A"/>
          <w:insideH w:val="single" w:sz="4" w:space="0" w:color="E8E8E8" w:themeColor="text1" w:themeTint="1A"/>
          <w:insideV w:val="single" w:sz="4" w:space="0" w:color="E8E8E8" w:themeColor="text1" w:themeTint="1A"/>
        </w:tcBorders>
        <w:shd w:val="clear" w:color="auto" w:fill="D3D3D3" w:themeFill="accent1" w:themeFillTint="33"/>
      </w:tcPr>
    </w:tblStylePr>
  </w:style>
  <w:style w:type="paragraph" w:styleId="TOC4">
    <w:name w:val="toc 4"/>
    <w:basedOn w:val="Normal"/>
    <w:next w:val="Normal"/>
    <w:autoRedefine/>
    <w:uiPriority w:val="39"/>
    <w:rsid w:val="00D653D2"/>
    <w:pPr>
      <w:spacing w:after="100"/>
      <w:ind w:left="1361" w:hanging="340"/>
    </w:pPr>
  </w:style>
  <w:style w:type="paragraph" w:customStyle="1" w:styleId="DarkBlockwoTOC">
    <w:name w:val="Dark Block w/o TOC"/>
    <w:basedOn w:val="DarkBlock"/>
    <w:link w:val="DarkBlockwoTOCChar"/>
    <w:uiPriority w:val="14"/>
    <w:qFormat/>
    <w:rsid w:val="00D653D2"/>
  </w:style>
  <w:style w:type="character" w:customStyle="1" w:styleId="DarkBlockChar">
    <w:name w:val="Dark Block Char"/>
    <w:basedOn w:val="DefaultParagraphFont"/>
    <w:link w:val="DarkBlock"/>
    <w:uiPriority w:val="14"/>
    <w:rsid w:val="00707FA1"/>
    <w:rPr>
      <w:rFonts w:asciiTheme="majorHAnsi" w:hAnsiTheme="majorHAnsi"/>
      <w:color w:val="FEFEFE" w:themeColor="background1"/>
      <w:sz w:val="56"/>
      <w:shd w:val="clear" w:color="auto" w:fill="232323" w:themeFill="text2"/>
      <w:lang w:val="en-US"/>
    </w:rPr>
  </w:style>
  <w:style w:type="character" w:customStyle="1" w:styleId="DarkBlockwoTOCChar">
    <w:name w:val="Dark Block w/o TOC Char"/>
    <w:basedOn w:val="DarkBlockChar"/>
    <w:link w:val="DarkBlockwoTOC"/>
    <w:uiPriority w:val="14"/>
    <w:rsid w:val="00707FA1"/>
    <w:rPr>
      <w:rFonts w:asciiTheme="majorHAnsi" w:hAnsiTheme="majorHAnsi"/>
      <w:color w:val="FEFEFE" w:themeColor="background1"/>
      <w:sz w:val="56"/>
      <w:shd w:val="clear" w:color="auto" w:fill="232323" w:themeFill="text2"/>
      <w:lang w:val="en-US"/>
    </w:rPr>
  </w:style>
  <w:style w:type="table" w:styleId="ListTable3-Accent6">
    <w:name w:val="List Table 3 Accent 6"/>
    <w:basedOn w:val="TableNormal"/>
    <w:uiPriority w:val="48"/>
    <w:rsid w:val="00F2683B"/>
    <w:pPr>
      <w:spacing w:after="0" w:line="240" w:lineRule="auto"/>
    </w:pPr>
    <w:tblPr>
      <w:tblStyleRowBandSize w:val="1"/>
      <w:tblStyleColBandSize w:val="1"/>
    </w:tblPr>
    <w:tblStylePr w:type="firstRow">
      <w:rPr>
        <w:b/>
        <w:bCs/>
        <w:color w:val="FEFEFE" w:themeColor="background1"/>
      </w:rPr>
      <w:tblPr/>
      <w:tcPr>
        <w:shd w:val="clear" w:color="auto" w:fill="82009B" w:themeFill="accent6"/>
      </w:tcPr>
    </w:tblStylePr>
    <w:tblStylePr w:type="lastRow">
      <w:rPr>
        <w:b/>
        <w:bCs/>
      </w:rPr>
      <w:tblPr/>
      <w:tcPr>
        <w:tcBorders>
          <w:top w:val="single" w:sz="12" w:space="0" w:color="82009B" w:themeColor="accent6"/>
        </w:tcBorders>
        <w:shd w:val="clear" w:color="auto" w:fill="FEFEFE" w:themeFill="background1"/>
      </w:tcPr>
    </w:tblStylePr>
    <w:tblStylePr w:type="firstCol">
      <w:rPr>
        <w:b/>
        <w:bCs/>
      </w:rPr>
      <w:tblPr/>
      <w:tcPr>
        <w:tcBorders>
          <w:top w:val="nil"/>
          <w:left w:val="nil"/>
          <w:bottom w:val="nil"/>
          <w:right w:val="nil"/>
          <w:insideH w:val="nil"/>
          <w:insideV w:val="nil"/>
          <w:tl2br w:val="nil"/>
          <w:tr2bl w:val="nil"/>
        </w:tcBorders>
        <w:shd w:val="clear" w:color="auto" w:fill="FEFEFE" w:themeFill="background1"/>
      </w:tcPr>
    </w:tblStylePr>
    <w:tblStylePr w:type="lastCol">
      <w:rPr>
        <w:b/>
        <w:bCs/>
      </w:rPr>
      <w:tblPr/>
      <w:tcPr>
        <w:tcBorders>
          <w:left w:val="nil"/>
        </w:tcBorders>
        <w:shd w:val="clear" w:color="auto" w:fill="FEFEFE" w:themeFill="background1"/>
      </w:tcPr>
    </w:tblStylePr>
    <w:tblStylePr w:type="band1Vert">
      <w:tblPr/>
      <w:tcPr>
        <w:tcBorders>
          <w:left w:val="nil"/>
          <w:right w:val="nil"/>
        </w:tcBorders>
      </w:tcPr>
    </w:tblStylePr>
    <w:tblStylePr w:type="band1Horz">
      <w:tblPr/>
      <w:tcPr>
        <w:tcBorders>
          <w:top w:val="nil"/>
          <w:bottom w:val="nil"/>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2009B" w:themeColor="accent6"/>
          <w:left w:val="nil"/>
        </w:tcBorders>
      </w:tcPr>
    </w:tblStylePr>
    <w:tblStylePr w:type="swCell">
      <w:tblPr/>
      <w:tcPr>
        <w:tcBorders>
          <w:top w:val="single" w:sz="12" w:space="0" w:color="auto"/>
          <w:left w:val="nil"/>
          <w:bottom w:val="nil"/>
          <w:right w:val="nil"/>
          <w:insideH w:val="nil"/>
          <w:insideV w:val="nil"/>
          <w:tl2br w:val="nil"/>
          <w:tr2bl w:val="nil"/>
        </w:tcBorders>
      </w:tcPr>
    </w:tblStylePr>
  </w:style>
  <w:style w:type="character" w:customStyle="1" w:styleId="SectionHeaderChar">
    <w:name w:val="Section Header Char"/>
    <w:basedOn w:val="Heading1Char"/>
    <w:link w:val="SectionHeader"/>
    <w:uiPriority w:val="13"/>
    <w:rsid w:val="00EB03C4"/>
    <w:rPr>
      <w:rFonts w:asciiTheme="majorHAnsi" w:eastAsiaTheme="majorEastAsia" w:hAnsiTheme="majorHAnsi" w:cstheme="majorBidi"/>
      <w:color w:val="1A1A1A" w:themeColor="accent1" w:themeShade="BF"/>
      <w:sz w:val="72"/>
      <w:szCs w:val="32"/>
      <w:lang w:val="en-US"/>
    </w:rPr>
  </w:style>
  <w:style w:type="character" w:customStyle="1" w:styleId="ApplySectionHeaderForHeader">
    <w:name w:val="Apply Section Header For Header"/>
    <w:basedOn w:val="DefaultParagraphFont"/>
    <w:uiPriority w:val="1"/>
    <w:qFormat/>
    <w:rsid w:val="00C31AFB"/>
  </w:style>
  <w:style w:type="paragraph" w:customStyle="1" w:styleId="GraphTitle">
    <w:name w:val="Graph Title"/>
    <w:basedOn w:val="TableTitle"/>
    <w:next w:val="Normal"/>
    <w:uiPriority w:val="4"/>
    <w:qFormat/>
    <w:rsid w:val="00461B55"/>
    <w:pPr>
      <w:numPr>
        <w:numId w:val="15"/>
      </w:numPr>
      <w:ind w:left="357" w:hanging="357"/>
    </w:pPr>
  </w:style>
  <w:style w:type="table" w:styleId="GridTable4-Accent6">
    <w:name w:val="Grid Table 4 Accent 6"/>
    <w:basedOn w:val="TableNormal"/>
    <w:uiPriority w:val="49"/>
    <w:rsid w:val="00CA3A13"/>
    <w:pPr>
      <w:spacing w:after="0" w:line="240" w:lineRule="auto"/>
    </w:pPr>
    <w:tblPr>
      <w:tblStyleRowBandSize w:val="1"/>
      <w:tblStyleColBandSize w:val="1"/>
      <w:tblBorders>
        <w:top w:val="single" w:sz="4" w:space="0" w:color="DB2AFF" w:themeColor="accent6" w:themeTint="99"/>
        <w:left w:val="single" w:sz="4" w:space="0" w:color="DB2AFF" w:themeColor="accent6" w:themeTint="99"/>
        <w:bottom w:val="single" w:sz="4" w:space="0" w:color="DB2AFF" w:themeColor="accent6" w:themeTint="99"/>
        <w:right w:val="single" w:sz="4" w:space="0" w:color="DB2AFF" w:themeColor="accent6" w:themeTint="99"/>
        <w:insideH w:val="single" w:sz="4" w:space="0" w:color="DB2AFF" w:themeColor="accent6" w:themeTint="99"/>
        <w:insideV w:val="single" w:sz="4" w:space="0" w:color="DB2AFF" w:themeColor="accent6" w:themeTint="99"/>
      </w:tblBorders>
    </w:tblPr>
    <w:tblStylePr w:type="firstRow">
      <w:rPr>
        <w:b/>
        <w:bCs/>
        <w:color w:val="FEFEFE" w:themeColor="background1"/>
      </w:rPr>
      <w:tblPr/>
      <w:tcPr>
        <w:tcBorders>
          <w:top w:val="single" w:sz="4" w:space="0" w:color="82009B" w:themeColor="accent6"/>
          <w:left w:val="single" w:sz="4" w:space="0" w:color="82009B" w:themeColor="accent6"/>
          <w:bottom w:val="single" w:sz="4" w:space="0" w:color="82009B" w:themeColor="accent6"/>
          <w:right w:val="single" w:sz="4" w:space="0" w:color="82009B" w:themeColor="accent6"/>
          <w:insideH w:val="nil"/>
          <w:insideV w:val="nil"/>
        </w:tcBorders>
        <w:shd w:val="clear" w:color="auto" w:fill="82009B" w:themeFill="accent6"/>
      </w:tcPr>
    </w:tblStylePr>
    <w:tblStylePr w:type="lastRow">
      <w:rPr>
        <w:b/>
        <w:bCs/>
      </w:rPr>
      <w:tblPr/>
      <w:tcPr>
        <w:tcBorders>
          <w:top w:val="double" w:sz="4" w:space="0" w:color="82009B" w:themeColor="accent6"/>
        </w:tcBorders>
      </w:tcPr>
    </w:tblStylePr>
    <w:tblStylePr w:type="firstCol">
      <w:rPr>
        <w:b/>
        <w:bCs/>
      </w:rPr>
    </w:tblStylePr>
    <w:tblStylePr w:type="lastCol">
      <w:rPr>
        <w:b/>
        <w:bCs/>
      </w:rPr>
    </w:tblStylePr>
    <w:tblStylePr w:type="band1Vert">
      <w:tblPr/>
      <w:tcPr>
        <w:shd w:val="clear" w:color="auto" w:fill="F3B8FF" w:themeFill="accent6" w:themeFillTint="33"/>
      </w:tcPr>
    </w:tblStylePr>
    <w:tblStylePr w:type="band1Horz">
      <w:tblPr/>
      <w:tcPr>
        <w:shd w:val="clear" w:color="auto" w:fill="F3B8FF" w:themeFill="accent6" w:themeFillTint="33"/>
      </w:tcPr>
    </w:tblStylePr>
  </w:style>
  <w:style w:type="paragraph" w:styleId="Revision">
    <w:name w:val="Revision"/>
    <w:hidden/>
    <w:uiPriority w:val="99"/>
    <w:semiHidden/>
    <w:rsid w:val="00E640FC"/>
    <w:pPr>
      <w:spacing w:after="0" w:line="240" w:lineRule="auto"/>
    </w:pPr>
    <w:rPr>
      <w:lang w:val="en-US"/>
    </w:rPr>
  </w:style>
  <w:style w:type="paragraph" w:styleId="Caption">
    <w:name w:val="caption"/>
    <w:basedOn w:val="Normal"/>
    <w:next w:val="Normal"/>
    <w:uiPriority w:val="35"/>
    <w:semiHidden/>
    <w:unhideWhenUsed/>
    <w:qFormat/>
    <w:rsid w:val="00F63C66"/>
    <w:pPr>
      <w:spacing w:before="0" w:after="200" w:line="240" w:lineRule="auto"/>
    </w:pPr>
    <w:rPr>
      <w:i/>
      <w:iCs/>
      <w:color w:val="232323"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594801">
      <w:bodyDiv w:val="1"/>
      <w:marLeft w:val="0"/>
      <w:marRight w:val="0"/>
      <w:marTop w:val="0"/>
      <w:marBottom w:val="0"/>
      <w:divBdr>
        <w:top w:val="none" w:sz="0" w:space="0" w:color="auto"/>
        <w:left w:val="none" w:sz="0" w:space="0" w:color="auto"/>
        <w:bottom w:val="none" w:sz="0" w:space="0" w:color="auto"/>
        <w:right w:val="none" w:sz="0" w:space="0" w:color="auto"/>
      </w:divBdr>
    </w:div>
    <w:div w:id="526790810">
      <w:bodyDiv w:val="1"/>
      <w:marLeft w:val="0"/>
      <w:marRight w:val="0"/>
      <w:marTop w:val="0"/>
      <w:marBottom w:val="0"/>
      <w:divBdr>
        <w:top w:val="none" w:sz="0" w:space="0" w:color="auto"/>
        <w:left w:val="none" w:sz="0" w:space="0" w:color="auto"/>
        <w:bottom w:val="none" w:sz="0" w:space="0" w:color="auto"/>
        <w:right w:val="none" w:sz="0" w:space="0" w:color="auto"/>
      </w:divBdr>
    </w:div>
    <w:div w:id="961301344">
      <w:bodyDiv w:val="1"/>
      <w:marLeft w:val="0"/>
      <w:marRight w:val="0"/>
      <w:marTop w:val="0"/>
      <w:marBottom w:val="0"/>
      <w:divBdr>
        <w:top w:val="none" w:sz="0" w:space="0" w:color="auto"/>
        <w:left w:val="none" w:sz="0" w:space="0" w:color="auto"/>
        <w:bottom w:val="none" w:sz="0" w:space="0" w:color="auto"/>
        <w:right w:val="none" w:sz="0" w:space="0" w:color="auto"/>
      </w:divBdr>
    </w:div>
    <w:div w:id="1270695667">
      <w:bodyDiv w:val="1"/>
      <w:marLeft w:val="0"/>
      <w:marRight w:val="0"/>
      <w:marTop w:val="0"/>
      <w:marBottom w:val="0"/>
      <w:divBdr>
        <w:top w:val="none" w:sz="0" w:space="0" w:color="auto"/>
        <w:left w:val="none" w:sz="0" w:space="0" w:color="auto"/>
        <w:bottom w:val="none" w:sz="0" w:space="0" w:color="auto"/>
        <w:right w:val="none" w:sz="0" w:space="0" w:color="auto"/>
      </w:divBdr>
    </w:div>
    <w:div w:id="1673215654">
      <w:bodyDiv w:val="1"/>
      <w:marLeft w:val="0"/>
      <w:marRight w:val="0"/>
      <w:marTop w:val="0"/>
      <w:marBottom w:val="0"/>
      <w:divBdr>
        <w:top w:val="none" w:sz="0" w:space="0" w:color="auto"/>
        <w:left w:val="none" w:sz="0" w:space="0" w:color="auto"/>
        <w:bottom w:val="none" w:sz="0" w:space="0" w:color="auto"/>
        <w:right w:val="none" w:sz="0" w:space="0" w:color="auto"/>
      </w:divBdr>
      <w:divsChild>
        <w:div w:id="24329055">
          <w:marLeft w:val="274"/>
          <w:marRight w:val="0"/>
          <w:marTop w:val="0"/>
          <w:marBottom w:val="0"/>
          <w:divBdr>
            <w:top w:val="none" w:sz="0" w:space="0" w:color="auto"/>
            <w:left w:val="none" w:sz="0" w:space="0" w:color="auto"/>
            <w:bottom w:val="none" w:sz="0" w:space="0" w:color="auto"/>
            <w:right w:val="none" w:sz="0" w:space="0" w:color="auto"/>
          </w:divBdr>
        </w:div>
        <w:div w:id="113208417">
          <w:marLeft w:val="274"/>
          <w:marRight w:val="0"/>
          <w:marTop w:val="120"/>
          <w:marBottom w:val="0"/>
          <w:divBdr>
            <w:top w:val="none" w:sz="0" w:space="0" w:color="auto"/>
            <w:left w:val="none" w:sz="0" w:space="0" w:color="auto"/>
            <w:bottom w:val="none" w:sz="0" w:space="0" w:color="auto"/>
            <w:right w:val="none" w:sz="0" w:space="0" w:color="auto"/>
          </w:divBdr>
        </w:div>
        <w:div w:id="200822693">
          <w:marLeft w:val="274"/>
          <w:marRight w:val="0"/>
          <w:marTop w:val="120"/>
          <w:marBottom w:val="0"/>
          <w:divBdr>
            <w:top w:val="none" w:sz="0" w:space="0" w:color="auto"/>
            <w:left w:val="none" w:sz="0" w:space="0" w:color="auto"/>
            <w:bottom w:val="none" w:sz="0" w:space="0" w:color="auto"/>
            <w:right w:val="none" w:sz="0" w:space="0" w:color="auto"/>
          </w:divBdr>
        </w:div>
        <w:div w:id="314408441">
          <w:marLeft w:val="274"/>
          <w:marRight w:val="0"/>
          <w:marTop w:val="0"/>
          <w:marBottom w:val="0"/>
          <w:divBdr>
            <w:top w:val="none" w:sz="0" w:space="0" w:color="auto"/>
            <w:left w:val="none" w:sz="0" w:space="0" w:color="auto"/>
            <w:bottom w:val="none" w:sz="0" w:space="0" w:color="auto"/>
            <w:right w:val="none" w:sz="0" w:space="0" w:color="auto"/>
          </w:divBdr>
        </w:div>
        <w:div w:id="332530521">
          <w:marLeft w:val="274"/>
          <w:marRight w:val="0"/>
          <w:marTop w:val="120"/>
          <w:marBottom w:val="0"/>
          <w:divBdr>
            <w:top w:val="none" w:sz="0" w:space="0" w:color="auto"/>
            <w:left w:val="none" w:sz="0" w:space="0" w:color="auto"/>
            <w:bottom w:val="none" w:sz="0" w:space="0" w:color="auto"/>
            <w:right w:val="none" w:sz="0" w:space="0" w:color="auto"/>
          </w:divBdr>
        </w:div>
        <w:div w:id="334767617">
          <w:marLeft w:val="274"/>
          <w:marRight w:val="0"/>
          <w:marTop w:val="0"/>
          <w:marBottom w:val="0"/>
          <w:divBdr>
            <w:top w:val="none" w:sz="0" w:space="0" w:color="auto"/>
            <w:left w:val="none" w:sz="0" w:space="0" w:color="auto"/>
            <w:bottom w:val="none" w:sz="0" w:space="0" w:color="auto"/>
            <w:right w:val="none" w:sz="0" w:space="0" w:color="auto"/>
          </w:divBdr>
        </w:div>
        <w:div w:id="586039205">
          <w:marLeft w:val="274"/>
          <w:marRight w:val="0"/>
          <w:marTop w:val="0"/>
          <w:marBottom w:val="0"/>
          <w:divBdr>
            <w:top w:val="none" w:sz="0" w:space="0" w:color="auto"/>
            <w:left w:val="none" w:sz="0" w:space="0" w:color="auto"/>
            <w:bottom w:val="none" w:sz="0" w:space="0" w:color="auto"/>
            <w:right w:val="none" w:sz="0" w:space="0" w:color="auto"/>
          </w:divBdr>
        </w:div>
        <w:div w:id="869416358">
          <w:marLeft w:val="274"/>
          <w:marRight w:val="0"/>
          <w:marTop w:val="0"/>
          <w:marBottom w:val="0"/>
          <w:divBdr>
            <w:top w:val="none" w:sz="0" w:space="0" w:color="auto"/>
            <w:left w:val="none" w:sz="0" w:space="0" w:color="auto"/>
            <w:bottom w:val="none" w:sz="0" w:space="0" w:color="auto"/>
            <w:right w:val="none" w:sz="0" w:space="0" w:color="auto"/>
          </w:divBdr>
        </w:div>
        <w:div w:id="893009358">
          <w:marLeft w:val="274"/>
          <w:marRight w:val="0"/>
          <w:marTop w:val="0"/>
          <w:marBottom w:val="0"/>
          <w:divBdr>
            <w:top w:val="none" w:sz="0" w:space="0" w:color="auto"/>
            <w:left w:val="none" w:sz="0" w:space="0" w:color="auto"/>
            <w:bottom w:val="none" w:sz="0" w:space="0" w:color="auto"/>
            <w:right w:val="none" w:sz="0" w:space="0" w:color="auto"/>
          </w:divBdr>
        </w:div>
        <w:div w:id="1101801509">
          <w:marLeft w:val="274"/>
          <w:marRight w:val="0"/>
          <w:marTop w:val="120"/>
          <w:marBottom w:val="0"/>
          <w:divBdr>
            <w:top w:val="none" w:sz="0" w:space="0" w:color="auto"/>
            <w:left w:val="none" w:sz="0" w:space="0" w:color="auto"/>
            <w:bottom w:val="none" w:sz="0" w:space="0" w:color="auto"/>
            <w:right w:val="none" w:sz="0" w:space="0" w:color="auto"/>
          </w:divBdr>
        </w:div>
        <w:div w:id="1250700007">
          <w:marLeft w:val="274"/>
          <w:marRight w:val="0"/>
          <w:marTop w:val="120"/>
          <w:marBottom w:val="0"/>
          <w:divBdr>
            <w:top w:val="none" w:sz="0" w:space="0" w:color="auto"/>
            <w:left w:val="none" w:sz="0" w:space="0" w:color="auto"/>
            <w:bottom w:val="none" w:sz="0" w:space="0" w:color="auto"/>
            <w:right w:val="none" w:sz="0" w:space="0" w:color="auto"/>
          </w:divBdr>
        </w:div>
        <w:div w:id="1431706122">
          <w:marLeft w:val="274"/>
          <w:marRight w:val="0"/>
          <w:marTop w:val="0"/>
          <w:marBottom w:val="0"/>
          <w:divBdr>
            <w:top w:val="none" w:sz="0" w:space="0" w:color="auto"/>
            <w:left w:val="none" w:sz="0" w:space="0" w:color="auto"/>
            <w:bottom w:val="none" w:sz="0" w:space="0" w:color="auto"/>
            <w:right w:val="none" w:sz="0" w:space="0" w:color="auto"/>
          </w:divBdr>
        </w:div>
        <w:div w:id="1682244603">
          <w:marLeft w:val="274"/>
          <w:marRight w:val="0"/>
          <w:marTop w:val="0"/>
          <w:marBottom w:val="0"/>
          <w:divBdr>
            <w:top w:val="none" w:sz="0" w:space="0" w:color="auto"/>
            <w:left w:val="none" w:sz="0" w:space="0" w:color="auto"/>
            <w:bottom w:val="none" w:sz="0" w:space="0" w:color="auto"/>
            <w:right w:val="none" w:sz="0" w:space="0" w:color="auto"/>
          </w:divBdr>
        </w:div>
        <w:div w:id="1821119350">
          <w:marLeft w:val="274"/>
          <w:marRight w:val="0"/>
          <w:marTop w:val="120"/>
          <w:marBottom w:val="0"/>
          <w:divBdr>
            <w:top w:val="none" w:sz="0" w:space="0" w:color="auto"/>
            <w:left w:val="none" w:sz="0" w:space="0" w:color="auto"/>
            <w:bottom w:val="none" w:sz="0" w:space="0" w:color="auto"/>
            <w:right w:val="none" w:sz="0" w:space="0" w:color="auto"/>
          </w:divBdr>
        </w:div>
        <w:div w:id="1989087345">
          <w:marLeft w:val="274"/>
          <w:marRight w:val="0"/>
          <w:marTop w:val="120"/>
          <w:marBottom w:val="0"/>
          <w:divBdr>
            <w:top w:val="none" w:sz="0" w:space="0" w:color="auto"/>
            <w:left w:val="none" w:sz="0" w:space="0" w:color="auto"/>
            <w:bottom w:val="none" w:sz="0" w:space="0" w:color="auto"/>
            <w:right w:val="none" w:sz="0" w:space="0" w:color="auto"/>
          </w:divBdr>
        </w:div>
        <w:div w:id="2099673833">
          <w:marLeft w:val="274"/>
          <w:marRight w:val="0"/>
          <w:marTop w:val="120"/>
          <w:marBottom w:val="0"/>
          <w:divBdr>
            <w:top w:val="none" w:sz="0" w:space="0" w:color="auto"/>
            <w:left w:val="none" w:sz="0" w:space="0" w:color="auto"/>
            <w:bottom w:val="none" w:sz="0" w:space="0" w:color="auto"/>
            <w:right w:val="none" w:sz="0" w:space="0" w:color="auto"/>
          </w:divBdr>
        </w:div>
      </w:divsChild>
    </w:div>
    <w:div w:id="1701708408">
      <w:bodyDiv w:val="1"/>
      <w:marLeft w:val="0"/>
      <w:marRight w:val="0"/>
      <w:marTop w:val="0"/>
      <w:marBottom w:val="0"/>
      <w:divBdr>
        <w:top w:val="none" w:sz="0" w:space="0" w:color="auto"/>
        <w:left w:val="none" w:sz="0" w:space="0" w:color="auto"/>
        <w:bottom w:val="none" w:sz="0" w:space="0" w:color="auto"/>
        <w:right w:val="none" w:sz="0" w:space="0" w:color="auto"/>
      </w:divBdr>
      <w:divsChild>
        <w:div w:id="255134486">
          <w:marLeft w:val="274"/>
          <w:marRight w:val="0"/>
          <w:marTop w:val="120"/>
          <w:marBottom w:val="0"/>
          <w:divBdr>
            <w:top w:val="none" w:sz="0" w:space="0" w:color="auto"/>
            <w:left w:val="none" w:sz="0" w:space="0" w:color="auto"/>
            <w:bottom w:val="none" w:sz="0" w:space="0" w:color="auto"/>
            <w:right w:val="none" w:sz="0" w:space="0" w:color="auto"/>
          </w:divBdr>
        </w:div>
        <w:div w:id="364646940">
          <w:marLeft w:val="274"/>
          <w:marRight w:val="0"/>
          <w:marTop w:val="0"/>
          <w:marBottom w:val="0"/>
          <w:divBdr>
            <w:top w:val="none" w:sz="0" w:space="0" w:color="auto"/>
            <w:left w:val="none" w:sz="0" w:space="0" w:color="auto"/>
            <w:bottom w:val="none" w:sz="0" w:space="0" w:color="auto"/>
            <w:right w:val="none" w:sz="0" w:space="0" w:color="auto"/>
          </w:divBdr>
        </w:div>
        <w:div w:id="615255890">
          <w:marLeft w:val="274"/>
          <w:marRight w:val="0"/>
          <w:marTop w:val="0"/>
          <w:marBottom w:val="0"/>
          <w:divBdr>
            <w:top w:val="none" w:sz="0" w:space="0" w:color="auto"/>
            <w:left w:val="none" w:sz="0" w:space="0" w:color="auto"/>
            <w:bottom w:val="none" w:sz="0" w:space="0" w:color="auto"/>
            <w:right w:val="none" w:sz="0" w:space="0" w:color="auto"/>
          </w:divBdr>
        </w:div>
        <w:div w:id="764156116">
          <w:marLeft w:val="274"/>
          <w:marRight w:val="0"/>
          <w:marTop w:val="0"/>
          <w:marBottom w:val="0"/>
          <w:divBdr>
            <w:top w:val="none" w:sz="0" w:space="0" w:color="auto"/>
            <w:left w:val="none" w:sz="0" w:space="0" w:color="auto"/>
            <w:bottom w:val="none" w:sz="0" w:space="0" w:color="auto"/>
            <w:right w:val="none" w:sz="0" w:space="0" w:color="auto"/>
          </w:divBdr>
        </w:div>
        <w:div w:id="815339875">
          <w:marLeft w:val="274"/>
          <w:marRight w:val="0"/>
          <w:marTop w:val="0"/>
          <w:marBottom w:val="0"/>
          <w:divBdr>
            <w:top w:val="none" w:sz="0" w:space="0" w:color="auto"/>
            <w:left w:val="none" w:sz="0" w:space="0" w:color="auto"/>
            <w:bottom w:val="none" w:sz="0" w:space="0" w:color="auto"/>
            <w:right w:val="none" w:sz="0" w:space="0" w:color="auto"/>
          </w:divBdr>
        </w:div>
        <w:div w:id="980034862">
          <w:marLeft w:val="274"/>
          <w:marRight w:val="0"/>
          <w:marTop w:val="0"/>
          <w:marBottom w:val="0"/>
          <w:divBdr>
            <w:top w:val="none" w:sz="0" w:space="0" w:color="auto"/>
            <w:left w:val="none" w:sz="0" w:space="0" w:color="auto"/>
            <w:bottom w:val="none" w:sz="0" w:space="0" w:color="auto"/>
            <w:right w:val="none" w:sz="0" w:space="0" w:color="auto"/>
          </w:divBdr>
        </w:div>
        <w:div w:id="1026754668">
          <w:marLeft w:val="274"/>
          <w:marRight w:val="0"/>
          <w:marTop w:val="120"/>
          <w:marBottom w:val="0"/>
          <w:divBdr>
            <w:top w:val="none" w:sz="0" w:space="0" w:color="auto"/>
            <w:left w:val="none" w:sz="0" w:space="0" w:color="auto"/>
            <w:bottom w:val="none" w:sz="0" w:space="0" w:color="auto"/>
            <w:right w:val="none" w:sz="0" w:space="0" w:color="auto"/>
          </w:divBdr>
        </w:div>
        <w:div w:id="1130977134">
          <w:marLeft w:val="274"/>
          <w:marRight w:val="0"/>
          <w:marTop w:val="0"/>
          <w:marBottom w:val="0"/>
          <w:divBdr>
            <w:top w:val="none" w:sz="0" w:space="0" w:color="auto"/>
            <w:left w:val="none" w:sz="0" w:space="0" w:color="auto"/>
            <w:bottom w:val="none" w:sz="0" w:space="0" w:color="auto"/>
            <w:right w:val="none" w:sz="0" w:space="0" w:color="auto"/>
          </w:divBdr>
        </w:div>
        <w:div w:id="1328021672">
          <w:marLeft w:val="274"/>
          <w:marRight w:val="0"/>
          <w:marTop w:val="120"/>
          <w:marBottom w:val="0"/>
          <w:divBdr>
            <w:top w:val="none" w:sz="0" w:space="0" w:color="auto"/>
            <w:left w:val="none" w:sz="0" w:space="0" w:color="auto"/>
            <w:bottom w:val="none" w:sz="0" w:space="0" w:color="auto"/>
            <w:right w:val="none" w:sz="0" w:space="0" w:color="auto"/>
          </w:divBdr>
        </w:div>
        <w:div w:id="1573152083">
          <w:marLeft w:val="274"/>
          <w:marRight w:val="0"/>
          <w:marTop w:val="120"/>
          <w:marBottom w:val="0"/>
          <w:divBdr>
            <w:top w:val="none" w:sz="0" w:space="0" w:color="auto"/>
            <w:left w:val="none" w:sz="0" w:space="0" w:color="auto"/>
            <w:bottom w:val="none" w:sz="0" w:space="0" w:color="auto"/>
            <w:right w:val="none" w:sz="0" w:space="0" w:color="auto"/>
          </w:divBdr>
        </w:div>
        <w:div w:id="1632708836">
          <w:marLeft w:val="274"/>
          <w:marRight w:val="0"/>
          <w:marTop w:val="120"/>
          <w:marBottom w:val="0"/>
          <w:divBdr>
            <w:top w:val="none" w:sz="0" w:space="0" w:color="auto"/>
            <w:left w:val="none" w:sz="0" w:space="0" w:color="auto"/>
            <w:bottom w:val="none" w:sz="0" w:space="0" w:color="auto"/>
            <w:right w:val="none" w:sz="0" w:space="0" w:color="auto"/>
          </w:divBdr>
        </w:div>
        <w:div w:id="1694064280">
          <w:marLeft w:val="274"/>
          <w:marRight w:val="0"/>
          <w:marTop w:val="120"/>
          <w:marBottom w:val="0"/>
          <w:divBdr>
            <w:top w:val="none" w:sz="0" w:space="0" w:color="auto"/>
            <w:left w:val="none" w:sz="0" w:space="0" w:color="auto"/>
            <w:bottom w:val="none" w:sz="0" w:space="0" w:color="auto"/>
            <w:right w:val="none" w:sz="0" w:space="0" w:color="auto"/>
          </w:divBdr>
        </w:div>
        <w:div w:id="1844083645">
          <w:marLeft w:val="274"/>
          <w:marRight w:val="0"/>
          <w:marTop w:val="120"/>
          <w:marBottom w:val="0"/>
          <w:divBdr>
            <w:top w:val="none" w:sz="0" w:space="0" w:color="auto"/>
            <w:left w:val="none" w:sz="0" w:space="0" w:color="auto"/>
            <w:bottom w:val="none" w:sz="0" w:space="0" w:color="auto"/>
            <w:right w:val="none" w:sz="0" w:space="0" w:color="auto"/>
          </w:divBdr>
        </w:div>
        <w:div w:id="2019886383">
          <w:marLeft w:val="274"/>
          <w:marRight w:val="0"/>
          <w:marTop w:val="120"/>
          <w:marBottom w:val="0"/>
          <w:divBdr>
            <w:top w:val="none" w:sz="0" w:space="0" w:color="auto"/>
            <w:left w:val="none" w:sz="0" w:space="0" w:color="auto"/>
            <w:bottom w:val="none" w:sz="0" w:space="0" w:color="auto"/>
            <w:right w:val="none" w:sz="0" w:space="0" w:color="auto"/>
          </w:divBdr>
        </w:div>
        <w:div w:id="2084642598">
          <w:marLeft w:val="274"/>
          <w:marRight w:val="0"/>
          <w:marTop w:val="0"/>
          <w:marBottom w:val="0"/>
          <w:divBdr>
            <w:top w:val="none" w:sz="0" w:space="0" w:color="auto"/>
            <w:left w:val="none" w:sz="0" w:space="0" w:color="auto"/>
            <w:bottom w:val="none" w:sz="0" w:space="0" w:color="auto"/>
            <w:right w:val="none" w:sz="0" w:space="0" w:color="auto"/>
          </w:divBdr>
        </w:div>
        <w:div w:id="2142569546">
          <w:marLeft w:val="274"/>
          <w:marRight w:val="0"/>
          <w:marTop w:val="0"/>
          <w:marBottom w:val="0"/>
          <w:divBdr>
            <w:top w:val="none" w:sz="0" w:space="0" w:color="auto"/>
            <w:left w:val="none" w:sz="0" w:space="0" w:color="auto"/>
            <w:bottom w:val="none" w:sz="0" w:space="0" w:color="auto"/>
            <w:right w:val="none" w:sz="0" w:space="0" w:color="auto"/>
          </w:divBdr>
        </w:div>
      </w:divsChild>
    </w:div>
    <w:div w:id="1876581534">
      <w:bodyDiv w:val="1"/>
      <w:marLeft w:val="0"/>
      <w:marRight w:val="0"/>
      <w:marTop w:val="0"/>
      <w:marBottom w:val="0"/>
      <w:divBdr>
        <w:top w:val="none" w:sz="0" w:space="0" w:color="auto"/>
        <w:left w:val="none" w:sz="0" w:space="0" w:color="auto"/>
        <w:bottom w:val="none" w:sz="0" w:space="0" w:color="auto"/>
        <w:right w:val="none" w:sz="0" w:space="0" w:color="auto"/>
      </w:divBdr>
    </w:div>
    <w:div w:id="195555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svg"/><Relationship Id="rId18" Type="http://schemas.openxmlformats.org/officeDocument/2006/relationships/image" Target="media/image23.png"/><Relationship Id="rId26" Type="http://schemas.openxmlformats.org/officeDocument/2006/relationships/chart" Target="charts/chart6.xml"/><Relationship Id="rId3" Type="http://schemas.openxmlformats.org/officeDocument/2006/relationships/numbering" Target="numbering.xml"/><Relationship Id="rId21"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19.png"/><Relationship Id="rId17" Type="http://schemas.openxmlformats.org/officeDocument/2006/relationships/chart" Target="charts/chart3.xml"/><Relationship Id="rId25" Type="http://schemas.openxmlformats.org/officeDocument/2006/relationships/image" Target="media/image28.sv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2.svg"/><Relationship Id="rId20" Type="http://schemas.openxmlformats.org/officeDocument/2006/relationships/chart" Target="charts/chart4.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27.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1.png"/><Relationship Id="rId23" Type="http://schemas.openxmlformats.org/officeDocument/2006/relationships/chart" Target="charts/chart5.xml"/><Relationship Id="rId28" Type="http://schemas.openxmlformats.org/officeDocument/2006/relationships/image" Target="media/image30.svg"/><Relationship Id="rId10" Type="http://schemas.openxmlformats.org/officeDocument/2006/relationships/image" Target="media/image18.svg"/><Relationship Id="rId19" Type="http://schemas.openxmlformats.org/officeDocument/2006/relationships/image" Target="media/image24.sv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7.png"/><Relationship Id="rId14" Type="http://schemas.openxmlformats.org/officeDocument/2006/relationships/chart" Target="charts/chart2.xml"/><Relationship Id="rId22" Type="http://schemas.openxmlformats.org/officeDocument/2006/relationships/image" Target="media/image26.svg"/><Relationship Id="rId27" Type="http://schemas.openxmlformats.org/officeDocument/2006/relationships/image" Target="media/image29.png"/><Relationship Id="rId30" Type="http://schemas.openxmlformats.org/officeDocument/2006/relationships/header" Target="header2.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6" Type="http://schemas.openxmlformats.org/officeDocument/2006/relationships/image" Target="media/image16.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G:\My%20Drive\01_templates_2024\Word\Civitta%20Word%20One%20Sheet%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Pilnībā nederīgas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Zināšanas un prasmes</c:v>
                </c:pt>
              </c:strCache>
            </c:strRef>
          </c:cat>
          <c:val>
            <c:numRef>
              <c:f>Sheet1!$B$2</c:f>
              <c:numCache>
                <c:formatCode>0%</c:formatCode>
                <c:ptCount val="1"/>
                <c:pt idx="0">
                  <c:v>0.05</c:v>
                </c:pt>
              </c:numCache>
            </c:numRef>
          </c:val>
          <c:extLst>
            <c:ext xmlns:c16="http://schemas.microsoft.com/office/drawing/2014/chart" uri="{C3380CC4-5D6E-409C-BE32-E72D297353CC}">
              <c16:uniqueId val="{00000000-742A-4343-AB09-BC9C60A3F0E7}"/>
            </c:ext>
          </c:extLst>
        </c:ser>
        <c:ser>
          <c:idx val="1"/>
          <c:order val="1"/>
          <c:tx>
            <c:strRef>
              <c:f>Sheet1!$C$1</c:f>
              <c:strCache>
                <c:ptCount val="1"/>
                <c:pt idx="0">
                  <c:v>Drīzāk nederīgas</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Zināšanas un prasmes</c:v>
                </c:pt>
              </c:strCache>
            </c:strRef>
          </c:cat>
          <c:val>
            <c:numRef>
              <c:f>Sheet1!$C$2</c:f>
              <c:numCache>
                <c:formatCode>0%</c:formatCode>
                <c:ptCount val="1"/>
                <c:pt idx="0">
                  <c:v>0.13</c:v>
                </c:pt>
              </c:numCache>
            </c:numRef>
          </c:val>
          <c:extLst>
            <c:ext xmlns:c16="http://schemas.microsoft.com/office/drawing/2014/chart" uri="{C3380CC4-5D6E-409C-BE32-E72D297353CC}">
              <c16:uniqueId val="{00000001-742A-4343-AB09-BC9C60A3F0E7}"/>
            </c:ext>
          </c:extLst>
        </c:ser>
        <c:ser>
          <c:idx val="2"/>
          <c:order val="2"/>
          <c:tx>
            <c:strRef>
              <c:f>Sheet1!$D$1</c:f>
              <c:strCache>
                <c:ptCount val="1"/>
                <c:pt idx="0">
                  <c:v>Drīzāk derīgas</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Zināšanas un prasmes</c:v>
                </c:pt>
              </c:strCache>
            </c:strRef>
          </c:cat>
          <c:val>
            <c:numRef>
              <c:f>Sheet1!$D$2</c:f>
              <c:numCache>
                <c:formatCode>0%</c:formatCode>
                <c:ptCount val="1"/>
                <c:pt idx="0">
                  <c:v>0.47</c:v>
                </c:pt>
              </c:numCache>
            </c:numRef>
          </c:val>
          <c:extLst>
            <c:ext xmlns:c16="http://schemas.microsoft.com/office/drawing/2014/chart" uri="{C3380CC4-5D6E-409C-BE32-E72D297353CC}">
              <c16:uniqueId val="{00000002-742A-4343-AB09-BC9C60A3F0E7}"/>
            </c:ext>
          </c:extLst>
        </c:ser>
        <c:ser>
          <c:idx val="3"/>
          <c:order val="3"/>
          <c:tx>
            <c:strRef>
              <c:f>Sheet1!$E$1</c:f>
              <c:strCache>
                <c:ptCount val="1"/>
                <c:pt idx="0">
                  <c:v>Ļoti derīgas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Zināšanas un prasmes</c:v>
                </c:pt>
              </c:strCache>
            </c:strRef>
          </c:cat>
          <c:val>
            <c:numRef>
              <c:f>Sheet1!$E$2</c:f>
              <c:numCache>
                <c:formatCode>0%</c:formatCode>
                <c:ptCount val="1"/>
                <c:pt idx="0">
                  <c:v>0.3</c:v>
                </c:pt>
              </c:numCache>
            </c:numRef>
          </c:val>
          <c:extLst>
            <c:ext xmlns:c16="http://schemas.microsoft.com/office/drawing/2014/chart" uri="{C3380CC4-5D6E-409C-BE32-E72D297353CC}">
              <c16:uniqueId val="{00000003-742A-4343-AB09-BC9C60A3F0E7}"/>
            </c:ext>
          </c:extLst>
        </c:ser>
        <c:ser>
          <c:idx val="4"/>
          <c:order val="4"/>
          <c:tx>
            <c:strRef>
              <c:f>Sheet1!$F$1</c:f>
              <c:strCache>
                <c:ptCount val="1"/>
                <c:pt idx="0">
                  <c:v>Grūti pateikt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Zināšanas un prasmes</c:v>
                </c:pt>
              </c:strCache>
            </c:strRef>
          </c:cat>
          <c:val>
            <c:numRef>
              <c:f>Sheet1!$F$2</c:f>
              <c:numCache>
                <c:formatCode>0%</c:formatCode>
                <c:ptCount val="1"/>
                <c:pt idx="0">
                  <c:v>0.05</c:v>
                </c:pt>
              </c:numCache>
            </c:numRef>
          </c:val>
          <c:extLst>
            <c:ext xmlns:c16="http://schemas.microsoft.com/office/drawing/2014/chart" uri="{C3380CC4-5D6E-409C-BE32-E72D297353CC}">
              <c16:uniqueId val="{00000004-742A-4343-AB09-BC9C60A3F0E7}"/>
            </c:ext>
          </c:extLst>
        </c:ser>
        <c:dLbls>
          <c:showLegendKey val="0"/>
          <c:showVal val="0"/>
          <c:showCatName val="0"/>
          <c:showSerName val="0"/>
          <c:showPercent val="0"/>
          <c:showBubbleSize val="0"/>
        </c:dLbls>
        <c:gapWidth val="150"/>
        <c:overlap val="100"/>
        <c:axId val="237498095"/>
        <c:axId val="237497135"/>
      </c:barChart>
      <c:catAx>
        <c:axId val="2374980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497135"/>
        <c:crosses val="autoZero"/>
        <c:auto val="1"/>
        <c:lblAlgn val="ctr"/>
        <c:lblOffset val="100"/>
        <c:noMultiLvlLbl val="0"/>
      </c:catAx>
      <c:valAx>
        <c:axId val="237497135"/>
        <c:scaling>
          <c:orientation val="minMax"/>
        </c:scaling>
        <c:delete val="1"/>
        <c:axPos val="b"/>
        <c:numFmt formatCode="0%" sourceLinked="1"/>
        <c:majorTickMark val="none"/>
        <c:minorTickMark val="none"/>
        <c:tickLblPos val="nextTo"/>
        <c:crossAx val="237498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Sheet1!$C$1</c:f>
              <c:strCache>
                <c:ptCount val="1"/>
                <c:pt idx="0">
                  <c:v>Pilnībā/ Drīzāk nepiekrītu</c:v>
                </c:pt>
              </c:strCache>
            </c:strRef>
          </c:tx>
          <c:spPr>
            <a:solidFill>
              <a:schemeClr val="accent6"/>
            </a:solidFill>
            <a:ln>
              <a:noFill/>
            </a:ln>
            <a:effectLst/>
          </c:spPr>
          <c:invertIfNegative val="0"/>
          <c:dLbls>
            <c:dLbl>
              <c:idx val="0"/>
              <c:layout>
                <c:manualLayout>
                  <c:x val="1.1773940345368845E-2"/>
                  <c:y val="-4.3865173224003373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58B-4A91-9424-116A1A092B33}"/>
                </c:ext>
              </c:extLst>
            </c:dLbl>
            <c:dLbl>
              <c:idx val="1"/>
              <c:layout>
                <c:manualLayout>
                  <c:x val="1.1773940345368918E-2"/>
                  <c:y val="4.9485127100425694E-3"/>
                </c:manualLayout>
              </c:layout>
              <c:spPr>
                <a:noFill/>
                <a:ln>
                  <a:noFill/>
                </a:ln>
                <a:effectLst/>
              </c:spPr>
              <c:txPr>
                <a:bodyPr rot="0" spcFirstLastPara="1" vertOverflow="ellipsis" horzOverflow="clip"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1-958B-4A91-9424-116A1A092B33}"/>
                </c:ext>
              </c:extLst>
            </c:dLbl>
            <c:dLbl>
              <c:idx val="2"/>
              <c:layout>
                <c:manualLayout>
                  <c:x val="1.9623233908948193E-3"/>
                  <c:y val="-4.3865173224003373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58B-4A91-9424-116A1A092B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Labāk saprotu, kāpēc svarīgi cienīt Latviju un tās simbolus</c:v>
                </c:pt>
                <c:pt idx="1">
                  <c:v>Jaunsardze palīdz saprast, kā varu būt noderīgs Latvijai</c:v>
                </c:pt>
                <c:pt idx="2">
                  <c:v>Es jūtos kā daļa no Latvijas, piedaloties Jaunsardzē</c:v>
                </c:pt>
              </c:strCache>
            </c:strRef>
          </c:cat>
          <c:val>
            <c:numRef>
              <c:f>Sheet1!$C$2:$C$4</c:f>
              <c:numCache>
                <c:formatCode>0%</c:formatCode>
                <c:ptCount val="3"/>
                <c:pt idx="0">
                  <c:v>0.05</c:v>
                </c:pt>
                <c:pt idx="1">
                  <c:v>0.03</c:v>
                </c:pt>
                <c:pt idx="2">
                  <c:v>0.05</c:v>
                </c:pt>
              </c:numCache>
            </c:numRef>
          </c:val>
          <c:extLst>
            <c:ext xmlns:c16="http://schemas.microsoft.com/office/drawing/2014/chart" uri="{C3380CC4-5D6E-409C-BE32-E72D297353CC}">
              <c16:uniqueId val="{00000003-958B-4A91-9424-116A1A092B33}"/>
            </c:ext>
          </c:extLst>
        </c:ser>
        <c:ser>
          <c:idx val="1"/>
          <c:order val="1"/>
          <c:tx>
            <c:strRef>
              <c:f>Sheet1!$D$1</c:f>
              <c:strCache>
                <c:ptCount val="1"/>
                <c:pt idx="0">
                  <c:v>Ne nepiekrītu, ne piekrītu</c:v>
                </c:pt>
              </c:strCache>
            </c:strRef>
          </c:tx>
          <c:spPr>
            <a:solidFill>
              <a:schemeClr val="accent3"/>
            </a:solidFill>
            <a:ln>
              <a:noFill/>
            </a:ln>
            <a:effectLst/>
          </c:spPr>
          <c:invertIfNegative val="0"/>
          <c:dLbls>
            <c:dLbl>
              <c:idx val="0"/>
              <c:layout>
                <c:manualLayout>
                  <c:x val="9.8116169544740974E-3"/>
                  <c:y val="4.9925112331501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58B-4A91-9424-116A1A092B33}"/>
                </c:ext>
              </c:extLst>
            </c:dLbl>
            <c:dLbl>
              <c:idx val="1"/>
              <c:layout>
                <c:manualLayout>
                  <c:x val="9.8116169544740974E-3"/>
                  <c:y val="4.9925112331502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58B-4A91-9424-116A1A092B33}"/>
                </c:ext>
              </c:extLst>
            </c:dLbl>
            <c:dLbl>
              <c:idx val="2"/>
              <c:layout>
                <c:manualLayout>
                  <c:x val="1.373626373626373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58B-4A91-9424-116A1A092B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Labāk saprotu, kāpēc svarīgi cienīt Latviju un tās simbolus</c:v>
                </c:pt>
                <c:pt idx="1">
                  <c:v>Jaunsardze palīdz saprast, kā varu būt noderīgs Latvijai</c:v>
                </c:pt>
                <c:pt idx="2">
                  <c:v>Es jūtos kā daļa no Latvijas, piedaloties Jaunsardzē</c:v>
                </c:pt>
              </c:strCache>
            </c:strRef>
          </c:cat>
          <c:val>
            <c:numRef>
              <c:f>Sheet1!$D$2:$D$4</c:f>
              <c:numCache>
                <c:formatCode>0%</c:formatCode>
                <c:ptCount val="3"/>
                <c:pt idx="0">
                  <c:v>0.12</c:v>
                </c:pt>
                <c:pt idx="1">
                  <c:v>0.14000000000000001</c:v>
                </c:pt>
                <c:pt idx="2">
                  <c:v>0.11</c:v>
                </c:pt>
              </c:numCache>
            </c:numRef>
          </c:val>
          <c:extLst>
            <c:ext xmlns:c16="http://schemas.microsoft.com/office/drawing/2014/chart" uri="{C3380CC4-5D6E-409C-BE32-E72D297353CC}">
              <c16:uniqueId val="{00000007-958B-4A91-9424-116A1A092B33}"/>
            </c:ext>
          </c:extLst>
        </c:ser>
        <c:ser>
          <c:idx val="2"/>
          <c:order val="2"/>
          <c:tx>
            <c:strRef>
              <c:f>Sheet1!$E$1</c:f>
              <c:strCache>
                <c:ptCount val="1"/>
                <c:pt idx="0">
                  <c:v>Drīzāk piekrītu</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Labāk saprotu, kāpēc svarīgi cienīt Latviju un tās simbolus</c:v>
                </c:pt>
                <c:pt idx="1">
                  <c:v>Jaunsardze palīdz saprast, kā varu būt noderīgs Latvijai</c:v>
                </c:pt>
                <c:pt idx="2">
                  <c:v>Es jūtos kā daļa no Latvijas, piedaloties Jaunsardzē</c:v>
                </c:pt>
              </c:strCache>
            </c:strRef>
          </c:cat>
          <c:val>
            <c:numRef>
              <c:f>Sheet1!$E$2:$E$4</c:f>
              <c:numCache>
                <c:formatCode>0%</c:formatCode>
                <c:ptCount val="3"/>
                <c:pt idx="0">
                  <c:v>0.4</c:v>
                </c:pt>
                <c:pt idx="1">
                  <c:v>0.39</c:v>
                </c:pt>
                <c:pt idx="2">
                  <c:v>0.31</c:v>
                </c:pt>
              </c:numCache>
            </c:numRef>
          </c:val>
          <c:extLst>
            <c:ext xmlns:c16="http://schemas.microsoft.com/office/drawing/2014/chart" uri="{C3380CC4-5D6E-409C-BE32-E72D297353CC}">
              <c16:uniqueId val="{00000008-958B-4A91-9424-116A1A092B33}"/>
            </c:ext>
          </c:extLst>
        </c:ser>
        <c:ser>
          <c:idx val="3"/>
          <c:order val="3"/>
          <c:tx>
            <c:strRef>
              <c:f>Sheet1!$F$1</c:f>
              <c:strCache>
                <c:ptCount val="1"/>
                <c:pt idx="0">
                  <c:v>Pilnībā piekrītu</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Labāk saprotu, kāpēc svarīgi cienīt Latviju un tās simbolus</c:v>
                </c:pt>
                <c:pt idx="1">
                  <c:v>Jaunsardze palīdz saprast, kā varu būt noderīgs Latvijai</c:v>
                </c:pt>
                <c:pt idx="2">
                  <c:v>Es jūtos kā daļa no Latvijas, piedaloties Jaunsardzē</c:v>
                </c:pt>
              </c:strCache>
            </c:strRef>
          </c:cat>
          <c:val>
            <c:numRef>
              <c:f>Sheet1!$F$2:$F$4</c:f>
              <c:numCache>
                <c:formatCode>0%</c:formatCode>
                <c:ptCount val="3"/>
                <c:pt idx="0">
                  <c:v>0.43</c:v>
                </c:pt>
                <c:pt idx="1">
                  <c:v>0.44</c:v>
                </c:pt>
                <c:pt idx="2">
                  <c:v>0.53</c:v>
                </c:pt>
              </c:numCache>
            </c:numRef>
          </c:val>
          <c:extLst>
            <c:ext xmlns:c16="http://schemas.microsoft.com/office/drawing/2014/chart" uri="{C3380CC4-5D6E-409C-BE32-E72D297353CC}">
              <c16:uniqueId val="{00000009-958B-4A91-9424-116A1A092B33}"/>
            </c:ext>
          </c:extLst>
        </c:ser>
        <c:dLbls>
          <c:showLegendKey val="0"/>
          <c:showVal val="0"/>
          <c:showCatName val="0"/>
          <c:showSerName val="0"/>
          <c:showPercent val="0"/>
          <c:showBubbleSize val="0"/>
        </c:dLbls>
        <c:gapWidth val="150"/>
        <c:overlap val="100"/>
        <c:axId val="237498095"/>
        <c:axId val="237497135"/>
      </c:barChart>
      <c:catAx>
        <c:axId val="2374980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497135"/>
        <c:crosses val="autoZero"/>
        <c:auto val="1"/>
        <c:lblAlgn val="ctr"/>
        <c:lblOffset val="100"/>
        <c:noMultiLvlLbl val="0"/>
      </c:catAx>
      <c:valAx>
        <c:axId val="237497135"/>
        <c:scaling>
          <c:orientation val="minMax"/>
        </c:scaling>
        <c:delete val="1"/>
        <c:axPos val="b"/>
        <c:numFmt formatCode="0%" sourceLinked="1"/>
        <c:majorTickMark val="none"/>
        <c:minorTickMark val="none"/>
        <c:tickLblPos val="nextTo"/>
        <c:crossAx val="237498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Pilnībā nepiekrītu</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Ir pieejama piemērota vide VAM praktisko prasmju apguvei</c:v>
                </c:pt>
                <c:pt idx="1">
                  <c:v>Skola spēj nodrošināt nepieciešamās telpas VAM nodarbībām</c:v>
                </c:pt>
              </c:strCache>
            </c:strRef>
          </c:cat>
          <c:val>
            <c:numRef>
              <c:f>Sheet1!$B$2:$B$3</c:f>
              <c:numCache>
                <c:formatCode>0%</c:formatCode>
                <c:ptCount val="2"/>
                <c:pt idx="0">
                  <c:v>7.0000000000000007E-2</c:v>
                </c:pt>
                <c:pt idx="1">
                  <c:v>0.06</c:v>
                </c:pt>
              </c:numCache>
            </c:numRef>
          </c:val>
          <c:extLst>
            <c:ext xmlns:c16="http://schemas.microsoft.com/office/drawing/2014/chart" uri="{C3380CC4-5D6E-409C-BE32-E72D297353CC}">
              <c16:uniqueId val="{00000000-6306-444D-B227-CEB4619CE2DC}"/>
            </c:ext>
          </c:extLst>
        </c:ser>
        <c:ser>
          <c:idx val="1"/>
          <c:order val="1"/>
          <c:tx>
            <c:strRef>
              <c:f>Sheet1!$C$1</c:f>
              <c:strCache>
                <c:ptCount val="1"/>
                <c:pt idx="0">
                  <c:v>Drīzāk nepiekrītu</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Ir pieejama piemērota vide VAM praktisko prasmju apguvei</c:v>
                </c:pt>
                <c:pt idx="1">
                  <c:v>Skola spēj nodrošināt nepieciešamās telpas VAM nodarbībām</c:v>
                </c:pt>
              </c:strCache>
            </c:strRef>
          </c:cat>
          <c:val>
            <c:numRef>
              <c:f>Sheet1!$C$2:$C$3</c:f>
              <c:numCache>
                <c:formatCode>0%</c:formatCode>
                <c:ptCount val="2"/>
                <c:pt idx="0">
                  <c:v>0.09</c:v>
                </c:pt>
                <c:pt idx="1">
                  <c:v>0.08</c:v>
                </c:pt>
              </c:numCache>
            </c:numRef>
          </c:val>
          <c:extLst>
            <c:ext xmlns:c16="http://schemas.microsoft.com/office/drawing/2014/chart" uri="{C3380CC4-5D6E-409C-BE32-E72D297353CC}">
              <c16:uniqueId val="{00000001-6306-444D-B227-CEB4619CE2DC}"/>
            </c:ext>
          </c:extLst>
        </c:ser>
        <c:ser>
          <c:idx val="2"/>
          <c:order val="2"/>
          <c:tx>
            <c:strRef>
              <c:f>Sheet1!$D$1</c:f>
              <c:strCache>
                <c:ptCount val="1"/>
                <c:pt idx="0">
                  <c:v>Ne piekrītu, ne nepiekrītu</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Ir pieejama piemērota vide VAM praktisko prasmju apguvei</c:v>
                </c:pt>
                <c:pt idx="1">
                  <c:v>Skola spēj nodrošināt nepieciešamās telpas VAM nodarbībām</c:v>
                </c:pt>
              </c:strCache>
            </c:strRef>
          </c:cat>
          <c:val>
            <c:numRef>
              <c:f>Sheet1!$D$2:$D$3</c:f>
              <c:numCache>
                <c:formatCode>0%</c:formatCode>
                <c:ptCount val="2"/>
                <c:pt idx="0">
                  <c:v>0.11</c:v>
                </c:pt>
                <c:pt idx="1">
                  <c:v>0.05</c:v>
                </c:pt>
              </c:numCache>
            </c:numRef>
          </c:val>
          <c:extLst>
            <c:ext xmlns:c16="http://schemas.microsoft.com/office/drawing/2014/chart" uri="{C3380CC4-5D6E-409C-BE32-E72D297353CC}">
              <c16:uniqueId val="{00000002-6306-444D-B227-CEB4619CE2DC}"/>
            </c:ext>
          </c:extLst>
        </c:ser>
        <c:ser>
          <c:idx val="3"/>
          <c:order val="3"/>
          <c:tx>
            <c:strRef>
              <c:f>Sheet1!$E$1</c:f>
              <c:strCache>
                <c:ptCount val="1"/>
                <c:pt idx="0">
                  <c:v>Drīzāk piekrītu</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Ir pieejama piemērota vide VAM praktisko prasmju apguvei</c:v>
                </c:pt>
                <c:pt idx="1">
                  <c:v>Skola spēj nodrošināt nepieciešamās telpas VAM nodarbībām</c:v>
                </c:pt>
              </c:strCache>
            </c:strRef>
          </c:cat>
          <c:val>
            <c:numRef>
              <c:f>Sheet1!$E$2:$E$3</c:f>
              <c:numCache>
                <c:formatCode>0%</c:formatCode>
                <c:ptCount val="2"/>
                <c:pt idx="0">
                  <c:v>0.43</c:v>
                </c:pt>
                <c:pt idx="1">
                  <c:v>0.32</c:v>
                </c:pt>
              </c:numCache>
            </c:numRef>
          </c:val>
          <c:extLst>
            <c:ext xmlns:c16="http://schemas.microsoft.com/office/drawing/2014/chart" uri="{C3380CC4-5D6E-409C-BE32-E72D297353CC}">
              <c16:uniqueId val="{00000003-6306-444D-B227-CEB4619CE2DC}"/>
            </c:ext>
          </c:extLst>
        </c:ser>
        <c:ser>
          <c:idx val="4"/>
          <c:order val="4"/>
          <c:tx>
            <c:strRef>
              <c:f>Sheet1!$F$1</c:f>
              <c:strCache>
                <c:ptCount val="1"/>
                <c:pt idx="0">
                  <c:v>Pilnībā piekrītu</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Ir pieejama piemērota vide VAM praktisko prasmju apguvei</c:v>
                </c:pt>
                <c:pt idx="1">
                  <c:v>Skola spēj nodrošināt nepieciešamās telpas VAM nodarbībām</c:v>
                </c:pt>
              </c:strCache>
            </c:strRef>
          </c:cat>
          <c:val>
            <c:numRef>
              <c:f>Sheet1!$F$2:$F$3</c:f>
              <c:numCache>
                <c:formatCode>0%</c:formatCode>
                <c:ptCount val="2"/>
                <c:pt idx="0">
                  <c:v>0.3</c:v>
                </c:pt>
                <c:pt idx="1">
                  <c:v>0.49</c:v>
                </c:pt>
              </c:numCache>
            </c:numRef>
          </c:val>
          <c:extLst>
            <c:ext xmlns:c16="http://schemas.microsoft.com/office/drawing/2014/chart" uri="{C3380CC4-5D6E-409C-BE32-E72D297353CC}">
              <c16:uniqueId val="{00000004-6306-444D-B227-CEB4619CE2DC}"/>
            </c:ext>
          </c:extLst>
        </c:ser>
        <c:dLbls>
          <c:showLegendKey val="0"/>
          <c:showVal val="0"/>
          <c:showCatName val="0"/>
          <c:showSerName val="0"/>
          <c:showPercent val="0"/>
          <c:showBubbleSize val="0"/>
        </c:dLbls>
        <c:gapWidth val="150"/>
        <c:overlap val="100"/>
        <c:axId val="1206758864"/>
        <c:axId val="1206755984"/>
      </c:barChart>
      <c:catAx>
        <c:axId val="120675886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06755984"/>
        <c:crosses val="autoZero"/>
        <c:auto val="1"/>
        <c:lblAlgn val="ctr"/>
        <c:lblOffset val="100"/>
        <c:noMultiLvlLbl val="0"/>
      </c:catAx>
      <c:valAx>
        <c:axId val="1206755984"/>
        <c:scaling>
          <c:orientation val="minMax"/>
        </c:scaling>
        <c:delete val="1"/>
        <c:axPos val="b"/>
        <c:numFmt formatCode="0%" sourceLinked="1"/>
        <c:majorTickMark val="none"/>
        <c:minorTickMark val="none"/>
        <c:tickLblPos val="nextTo"/>
        <c:crossAx val="1206758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Drīzāk nepiekrītu</c:v>
                </c:pt>
              </c:strCache>
            </c:strRef>
          </c:tx>
          <c:spPr>
            <a:solidFill>
              <a:schemeClr val="accent6">
                <a:lumMod val="20000"/>
                <a:lumOff val="80000"/>
              </a:schemeClr>
            </a:solidFill>
            <a:ln>
              <a:noFill/>
            </a:ln>
            <a:effectLst/>
          </c:spPr>
          <c:invertIfNegative val="0"/>
          <c:dLbls>
            <c:dLbl>
              <c:idx val="0"/>
              <c:layout>
                <c:manualLayout>
                  <c:x val="7.7324569882079325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D1A-4250-883F-4DFA3F8BD7B9}"/>
                </c:ext>
              </c:extLst>
            </c:dLbl>
            <c:dLbl>
              <c:idx val="1"/>
              <c:layout>
                <c:manualLayout>
                  <c:x val="9.6655712352599326E-3"/>
                  <c:y val="-2.760180901467749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1A-4250-883F-4DFA3F8BD7B9}"/>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Jaunsargu instruktoram piemīt nepieciešamās pedagoģiskās prasmes darbam ar jauniešiem</c:v>
                </c:pt>
                <c:pt idx="1">
                  <c:v>Jaunsargu instruktora personība pozitīvi ietekmē programmas kvalitāti</c:v>
                </c:pt>
              </c:strCache>
            </c:strRef>
          </c:cat>
          <c:val>
            <c:numRef>
              <c:f>Sheet1!$B$2:$B$3</c:f>
              <c:numCache>
                <c:formatCode>0%</c:formatCode>
                <c:ptCount val="2"/>
                <c:pt idx="0">
                  <c:v>0.02</c:v>
                </c:pt>
                <c:pt idx="1">
                  <c:v>0.01</c:v>
                </c:pt>
              </c:numCache>
            </c:numRef>
          </c:val>
          <c:extLst>
            <c:ext xmlns:c16="http://schemas.microsoft.com/office/drawing/2014/chart" uri="{C3380CC4-5D6E-409C-BE32-E72D297353CC}">
              <c16:uniqueId val="{00000002-ED1A-4250-883F-4DFA3F8BD7B9}"/>
            </c:ext>
          </c:extLst>
        </c:ser>
        <c:ser>
          <c:idx val="1"/>
          <c:order val="1"/>
          <c:tx>
            <c:strRef>
              <c:f>Sheet1!$C$1</c:f>
              <c:strCache>
                <c:ptCount val="1"/>
                <c:pt idx="0">
                  <c:v>Ne piekrītu, ne nepiekrītu</c:v>
                </c:pt>
              </c:strCache>
            </c:strRef>
          </c:tx>
          <c:spPr>
            <a:solidFill>
              <a:schemeClr val="accent3"/>
            </a:solidFill>
            <a:ln>
              <a:noFill/>
            </a:ln>
            <a:effectLst/>
          </c:spPr>
          <c:invertIfNegative val="0"/>
          <c:dLbls>
            <c:dLbl>
              <c:idx val="0"/>
              <c:layout>
                <c:manualLayout>
                  <c:x val="1.5464913976416006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D1A-4250-883F-4DFA3F8BD7B9}"/>
                </c:ext>
              </c:extLst>
            </c:dLbl>
            <c:dLbl>
              <c:idx val="1"/>
              <c:layout>
                <c:manualLayout>
                  <c:x val="1.3531799729363934E-2"/>
                  <c:y val="-2.7601809014677491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D1A-4250-883F-4DFA3F8BD7B9}"/>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Jaunsargu instruktoram piemīt nepieciešamās pedagoģiskās prasmes darbam ar jauniešiem</c:v>
                </c:pt>
                <c:pt idx="1">
                  <c:v>Jaunsargu instruktora personība pozitīvi ietekmē programmas kvalitāti</c:v>
                </c:pt>
              </c:strCache>
            </c:strRef>
          </c:cat>
          <c:val>
            <c:numRef>
              <c:f>Sheet1!$C$2:$C$3</c:f>
              <c:numCache>
                <c:formatCode>0%</c:formatCode>
                <c:ptCount val="2"/>
                <c:pt idx="0">
                  <c:v>0.12</c:v>
                </c:pt>
                <c:pt idx="1">
                  <c:v>0.12</c:v>
                </c:pt>
              </c:numCache>
            </c:numRef>
          </c:val>
          <c:extLst>
            <c:ext xmlns:c16="http://schemas.microsoft.com/office/drawing/2014/chart" uri="{C3380CC4-5D6E-409C-BE32-E72D297353CC}">
              <c16:uniqueId val="{00000005-ED1A-4250-883F-4DFA3F8BD7B9}"/>
            </c:ext>
          </c:extLst>
        </c:ser>
        <c:ser>
          <c:idx val="2"/>
          <c:order val="2"/>
          <c:tx>
            <c:strRef>
              <c:f>Sheet1!$D$1</c:f>
              <c:strCache>
                <c:ptCount val="1"/>
                <c:pt idx="0">
                  <c:v>Drīzāk piekrītu</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Jaunsargu instruktoram piemīt nepieciešamās pedagoģiskās prasmes darbam ar jauniešiem</c:v>
                </c:pt>
                <c:pt idx="1">
                  <c:v>Jaunsargu instruktora personība pozitīvi ietekmē programmas kvalitāti</c:v>
                </c:pt>
              </c:strCache>
            </c:strRef>
          </c:cat>
          <c:val>
            <c:numRef>
              <c:f>Sheet1!$D$2:$D$3</c:f>
              <c:numCache>
                <c:formatCode>0%</c:formatCode>
                <c:ptCount val="2"/>
                <c:pt idx="0">
                  <c:v>0.24</c:v>
                </c:pt>
                <c:pt idx="1">
                  <c:v>0.26</c:v>
                </c:pt>
              </c:numCache>
            </c:numRef>
          </c:val>
          <c:extLst>
            <c:ext xmlns:c16="http://schemas.microsoft.com/office/drawing/2014/chart" uri="{C3380CC4-5D6E-409C-BE32-E72D297353CC}">
              <c16:uniqueId val="{00000006-ED1A-4250-883F-4DFA3F8BD7B9}"/>
            </c:ext>
          </c:extLst>
        </c:ser>
        <c:ser>
          <c:idx val="3"/>
          <c:order val="3"/>
          <c:tx>
            <c:strRef>
              <c:f>Sheet1!$E$1</c:f>
              <c:strCache>
                <c:ptCount val="1"/>
                <c:pt idx="0">
                  <c:v>Pilnībā piekrītu</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Jaunsargu instruktoram piemīt nepieciešamās pedagoģiskās prasmes darbam ar jauniešiem</c:v>
                </c:pt>
                <c:pt idx="1">
                  <c:v>Jaunsargu instruktora personība pozitīvi ietekmē programmas kvalitāti</c:v>
                </c:pt>
              </c:strCache>
            </c:strRef>
          </c:cat>
          <c:val>
            <c:numRef>
              <c:f>Sheet1!$E$2:$E$3</c:f>
              <c:numCache>
                <c:formatCode>0%</c:formatCode>
                <c:ptCount val="2"/>
                <c:pt idx="0">
                  <c:v>0.62</c:v>
                </c:pt>
                <c:pt idx="1">
                  <c:v>0.6</c:v>
                </c:pt>
              </c:numCache>
            </c:numRef>
          </c:val>
          <c:extLst>
            <c:ext xmlns:c16="http://schemas.microsoft.com/office/drawing/2014/chart" uri="{C3380CC4-5D6E-409C-BE32-E72D297353CC}">
              <c16:uniqueId val="{00000007-ED1A-4250-883F-4DFA3F8BD7B9}"/>
            </c:ext>
          </c:extLst>
        </c:ser>
        <c:dLbls>
          <c:dLblPos val="ctr"/>
          <c:showLegendKey val="0"/>
          <c:showVal val="1"/>
          <c:showCatName val="0"/>
          <c:showSerName val="0"/>
          <c:showPercent val="0"/>
          <c:showBubbleSize val="0"/>
        </c:dLbls>
        <c:gapWidth val="150"/>
        <c:overlap val="100"/>
        <c:axId val="115975360"/>
        <c:axId val="1774855807"/>
      </c:barChart>
      <c:catAx>
        <c:axId val="115975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LV"/>
          </a:p>
        </c:txPr>
        <c:crossAx val="1774855807"/>
        <c:crosses val="autoZero"/>
        <c:auto val="1"/>
        <c:lblAlgn val="ctr"/>
        <c:lblOffset val="100"/>
        <c:noMultiLvlLbl val="0"/>
      </c:catAx>
      <c:valAx>
        <c:axId val="1774855807"/>
        <c:scaling>
          <c:orientation val="minMax"/>
        </c:scaling>
        <c:delete val="1"/>
        <c:axPos val="b"/>
        <c:numFmt formatCode="0%" sourceLinked="1"/>
        <c:majorTickMark val="none"/>
        <c:minorTickMark val="none"/>
        <c:tickLblPos val="nextTo"/>
        <c:crossAx val="115975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pPr>
      <a:endParaRPr lang="en-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Vispār nebija iespējas</c:v>
                </c:pt>
              </c:strCache>
            </c:strRef>
          </c:tx>
          <c:spPr>
            <a:solidFill>
              <a:schemeClr val="accent6"/>
            </a:solidFill>
            <a:ln>
              <a:noFill/>
            </a:ln>
            <a:effectLst/>
          </c:spPr>
          <c:invertIfNegative val="0"/>
          <c:dLbls>
            <c:dLbl>
              <c:idx val="4"/>
              <c:layout>
                <c:manualLayout>
                  <c:x val="5.886970172684422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A5-4255-B442-31C31A5D5894}"/>
                </c:ext>
              </c:extLst>
            </c:dLbl>
            <c:dLbl>
              <c:idx val="5"/>
              <c:layout>
                <c:manualLayout>
                  <c:x val="5.886970172684458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A5-4255-B442-31C31A5D589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Darbības ar droniem</c:v>
                </c:pt>
                <c:pt idx="1">
                  <c:v>Pilsoniskā līdzdalība</c:v>
                </c:pt>
                <c:pt idx="2">
                  <c:v>Militārā taktika</c:v>
                </c:pt>
                <c:pt idx="3">
                  <c:v>Lauka kaujas iemaņas</c:v>
                </c:pt>
                <c:pt idx="4">
                  <c:v>Šaušanas iemaņas</c:v>
                </c:pt>
                <c:pt idx="5">
                  <c:v>Darbības ar ieročiem</c:v>
                </c:pt>
              </c:strCache>
            </c:strRef>
          </c:cat>
          <c:val>
            <c:numRef>
              <c:f>Sheet1!$B$2:$B$7</c:f>
              <c:numCache>
                <c:formatCode>0%</c:formatCode>
                <c:ptCount val="6"/>
                <c:pt idx="0">
                  <c:v>0.78</c:v>
                </c:pt>
                <c:pt idx="1">
                  <c:v>0.37</c:v>
                </c:pt>
                <c:pt idx="2">
                  <c:v>0.08</c:v>
                </c:pt>
                <c:pt idx="3">
                  <c:v>0.06</c:v>
                </c:pt>
                <c:pt idx="4">
                  <c:v>0.03</c:v>
                </c:pt>
                <c:pt idx="5">
                  <c:v>0.02</c:v>
                </c:pt>
              </c:numCache>
            </c:numRef>
          </c:val>
          <c:extLst>
            <c:ext xmlns:c16="http://schemas.microsoft.com/office/drawing/2014/chart" uri="{C3380CC4-5D6E-409C-BE32-E72D297353CC}">
              <c16:uniqueId val="{00000002-98A5-4255-B442-31C31A5D5894}"/>
            </c:ext>
          </c:extLst>
        </c:ser>
        <c:ser>
          <c:idx val="1"/>
          <c:order val="1"/>
          <c:tx>
            <c:strRef>
              <c:f>Sheet1!$C$1</c:f>
              <c:strCache>
                <c:ptCount val="1"/>
                <c:pt idx="0">
                  <c:v>Bija ļoti maz iespēju</c:v>
                </c:pt>
              </c:strCache>
            </c:strRef>
          </c:tx>
          <c:spPr>
            <a:solidFill>
              <a:schemeClr val="accent6">
                <a:lumMod val="20000"/>
                <a:lumOff val="80000"/>
              </a:schemeClr>
            </a:solidFill>
            <a:ln>
              <a:noFill/>
            </a:ln>
            <a:effectLst/>
          </c:spPr>
          <c:invertIfNegative val="0"/>
          <c:dLbls>
            <c:dLbl>
              <c:idx val="4"/>
              <c:layout>
                <c:manualLayout>
                  <c:x val="9.811616954474097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8A5-4255-B442-31C31A5D5894}"/>
                </c:ext>
              </c:extLst>
            </c:dLbl>
            <c:dLbl>
              <c:idx val="5"/>
              <c:layout>
                <c:manualLayout>
                  <c:x val="1.177394034536888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8A5-4255-B442-31C31A5D589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Darbības ar droniem</c:v>
                </c:pt>
                <c:pt idx="1">
                  <c:v>Pilsoniskā līdzdalība</c:v>
                </c:pt>
                <c:pt idx="2">
                  <c:v>Militārā taktika</c:v>
                </c:pt>
                <c:pt idx="3">
                  <c:v>Lauka kaujas iemaņas</c:v>
                </c:pt>
                <c:pt idx="4">
                  <c:v>Šaušanas iemaņas</c:v>
                </c:pt>
                <c:pt idx="5">
                  <c:v>Darbības ar ieročiem</c:v>
                </c:pt>
              </c:strCache>
            </c:strRef>
          </c:cat>
          <c:val>
            <c:numRef>
              <c:f>Sheet1!$C$2:$C$7</c:f>
              <c:numCache>
                <c:formatCode>0%</c:formatCode>
                <c:ptCount val="6"/>
                <c:pt idx="0">
                  <c:v>0.09</c:v>
                </c:pt>
                <c:pt idx="1">
                  <c:v>0.22</c:v>
                </c:pt>
                <c:pt idx="2">
                  <c:v>0.16</c:v>
                </c:pt>
                <c:pt idx="3">
                  <c:v>0.1</c:v>
                </c:pt>
                <c:pt idx="4">
                  <c:v>0.04</c:v>
                </c:pt>
                <c:pt idx="5">
                  <c:v>0.03</c:v>
                </c:pt>
              </c:numCache>
            </c:numRef>
          </c:val>
          <c:extLst>
            <c:ext xmlns:c16="http://schemas.microsoft.com/office/drawing/2014/chart" uri="{C3380CC4-5D6E-409C-BE32-E72D297353CC}">
              <c16:uniqueId val="{00000005-98A5-4255-B442-31C31A5D5894}"/>
            </c:ext>
          </c:extLst>
        </c:ser>
        <c:ser>
          <c:idx val="2"/>
          <c:order val="2"/>
          <c:tx>
            <c:strRef>
              <c:f>Sheet1!$D$1</c:f>
              <c:strCache>
                <c:ptCount val="1"/>
                <c:pt idx="0">
                  <c:v>Bija dažas iespējas</c:v>
                </c:pt>
              </c:strCache>
            </c:strRef>
          </c:tx>
          <c:spPr>
            <a:solidFill>
              <a:schemeClr val="accent4">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Darbības ar droniem</c:v>
                </c:pt>
                <c:pt idx="1">
                  <c:v>Pilsoniskā līdzdalība</c:v>
                </c:pt>
                <c:pt idx="2">
                  <c:v>Militārā taktika</c:v>
                </c:pt>
                <c:pt idx="3">
                  <c:v>Lauka kaujas iemaņas</c:v>
                </c:pt>
                <c:pt idx="4">
                  <c:v>Šaušanas iemaņas</c:v>
                </c:pt>
                <c:pt idx="5">
                  <c:v>Darbības ar ieročiem</c:v>
                </c:pt>
              </c:strCache>
            </c:strRef>
          </c:cat>
          <c:val>
            <c:numRef>
              <c:f>Sheet1!$D$2:$D$7</c:f>
              <c:numCache>
                <c:formatCode>0%</c:formatCode>
                <c:ptCount val="6"/>
                <c:pt idx="0">
                  <c:v>0.06</c:v>
                </c:pt>
                <c:pt idx="1">
                  <c:v>0.22</c:v>
                </c:pt>
                <c:pt idx="2">
                  <c:v>0.31</c:v>
                </c:pt>
                <c:pt idx="3">
                  <c:v>0.27</c:v>
                </c:pt>
                <c:pt idx="4">
                  <c:v>0.18</c:v>
                </c:pt>
                <c:pt idx="5">
                  <c:v>0.14000000000000001</c:v>
                </c:pt>
              </c:numCache>
            </c:numRef>
          </c:val>
          <c:extLst>
            <c:ext xmlns:c16="http://schemas.microsoft.com/office/drawing/2014/chart" uri="{C3380CC4-5D6E-409C-BE32-E72D297353CC}">
              <c16:uniqueId val="{00000006-98A5-4255-B442-31C31A5D5894}"/>
            </c:ext>
          </c:extLst>
        </c:ser>
        <c:ser>
          <c:idx val="3"/>
          <c:order val="3"/>
          <c:tx>
            <c:strRef>
              <c:f>Sheet1!$E$1</c:f>
              <c:strCache>
                <c:ptCount val="1"/>
                <c:pt idx="0">
                  <c:v>Bija pietiekami daudz iespēju</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Darbības ar droniem</c:v>
                </c:pt>
                <c:pt idx="1">
                  <c:v>Pilsoniskā līdzdalība</c:v>
                </c:pt>
                <c:pt idx="2">
                  <c:v>Militārā taktika</c:v>
                </c:pt>
                <c:pt idx="3">
                  <c:v>Lauka kaujas iemaņas</c:v>
                </c:pt>
                <c:pt idx="4">
                  <c:v>Šaušanas iemaņas</c:v>
                </c:pt>
                <c:pt idx="5">
                  <c:v>Darbības ar ieročiem</c:v>
                </c:pt>
              </c:strCache>
            </c:strRef>
          </c:cat>
          <c:val>
            <c:numRef>
              <c:f>Sheet1!$E$2:$E$7</c:f>
              <c:numCache>
                <c:formatCode>0%</c:formatCode>
                <c:ptCount val="6"/>
                <c:pt idx="0">
                  <c:v>0.04</c:v>
                </c:pt>
                <c:pt idx="1">
                  <c:v>0.13</c:v>
                </c:pt>
                <c:pt idx="2">
                  <c:v>0.3</c:v>
                </c:pt>
                <c:pt idx="3">
                  <c:v>0.35</c:v>
                </c:pt>
                <c:pt idx="4">
                  <c:v>0.4</c:v>
                </c:pt>
                <c:pt idx="5">
                  <c:v>0.4</c:v>
                </c:pt>
              </c:numCache>
            </c:numRef>
          </c:val>
          <c:extLst>
            <c:ext xmlns:c16="http://schemas.microsoft.com/office/drawing/2014/chart" uri="{C3380CC4-5D6E-409C-BE32-E72D297353CC}">
              <c16:uniqueId val="{00000007-98A5-4255-B442-31C31A5D5894}"/>
            </c:ext>
          </c:extLst>
        </c:ser>
        <c:ser>
          <c:idx val="4"/>
          <c:order val="4"/>
          <c:tx>
            <c:strRef>
              <c:f>Sheet1!$F$1</c:f>
              <c:strCache>
                <c:ptCount val="1"/>
                <c:pt idx="0">
                  <c:v>Bija ļoti daudz iespēju</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Darbības ar droniem</c:v>
                </c:pt>
                <c:pt idx="1">
                  <c:v>Pilsoniskā līdzdalība</c:v>
                </c:pt>
                <c:pt idx="2">
                  <c:v>Militārā taktika</c:v>
                </c:pt>
                <c:pt idx="3">
                  <c:v>Lauka kaujas iemaņas</c:v>
                </c:pt>
                <c:pt idx="4">
                  <c:v>Šaušanas iemaņas</c:v>
                </c:pt>
                <c:pt idx="5">
                  <c:v>Darbības ar ieročiem</c:v>
                </c:pt>
              </c:strCache>
            </c:strRef>
          </c:cat>
          <c:val>
            <c:numRef>
              <c:f>Sheet1!$F$2:$F$7</c:f>
              <c:numCache>
                <c:formatCode>0%</c:formatCode>
                <c:ptCount val="6"/>
                <c:pt idx="0">
                  <c:v>0.03</c:v>
                </c:pt>
                <c:pt idx="1">
                  <c:v>0.06</c:v>
                </c:pt>
                <c:pt idx="2">
                  <c:v>0.15</c:v>
                </c:pt>
                <c:pt idx="3">
                  <c:v>0.22</c:v>
                </c:pt>
                <c:pt idx="4">
                  <c:v>0.35</c:v>
                </c:pt>
                <c:pt idx="5">
                  <c:v>0.41</c:v>
                </c:pt>
              </c:numCache>
            </c:numRef>
          </c:val>
          <c:extLst>
            <c:ext xmlns:c16="http://schemas.microsoft.com/office/drawing/2014/chart" uri="{C3380CC4-5D6E-409C-BE32-E72D297353CC}">
              <c16:uniqueId val="{00000008-98A5-4255-B442-31C31A5D5894}"/>
            </c:ext>
          </c:extLst>
        </c:ser>
        <c:dLbls>
          <c:showLegendKey val="0"/>
          <c:showVal val="0"/>
          <c:showCatName val="0"/>
          <c:showSerName val="0"/>
          <c:showPercent val="0"/>
          <c:showBubbleSize val="0"/>
        </c:dLbls>
        <c:gapWidth val="150"/>
        <c:overlap val="100"/>
        <c:axId val="237498095"/>
        <c:axId val="237497135"/>
      </c:barChart>
      <c:catAx>
        <c:axId val="2374980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497135"/>
        <c:crosses val="autoZero"/>
        <c:auto val="1"/>
        <c:lblAlgn val="ctr"/>
        <c:lblOffset val="100"/>
        <c:noMultiLvlLbl val="0"/>
      </c:catAx>
      <c:valAx>
        <c:axId val="237497135"/>
        <c:scaling>
          <c:orientation val="minMax"/>
        </c:scaling>
        <c:delete val="1"/>
        <c:axPos val="b"/>
        <c:numFmt formatCode="0%" sourceLinked="1"/>
        <c:majorTickMark val="none"/>
        <c:minorTickMark val="none"/>
        <c:tickLblPos val="nextTo"/>
        <c:crossAx val="237498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Sheet1!$B$1</c:f>
              <c:strCache>
                <c:ptCount val="1"/>
                <c:pt idx="0">
                  <c:v>Pilnībā nepiekrītu</c:v>
                </c:pt>
              </c:strCache>
            </c:strRef>
          </c:tx>
          <c:spPr>
            <a:solidFill>
              <a:schemeClr val="accent6"/>
            </a:solidFill>
            <a:ln>
              <a:noFill/>
            </a:ln>
            <a:effectLst/>
          </c:spPr>
          <c:invertIfNegative val="0"/>
          <c:dLbls>
            <c:dLbl>
              <c:idx val="0"/>
              <c:layout>
                <c:manualLayout>
                  <c:x val="3.9246467817895666E-3"/>
                  <c:y val="-1.09054900955913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0CE-44D6-8B3C-1267E28B721B}"/>
                </c:ext>
              </c:extLst>
            </c:dLbl>
            <c:dLbl>
              <c:idx val="1"/>
              <c:layout>
                <c:manualLayout>
                  <c:x val="5.8869701726844588E-3"/>
                  <c:y val="4.948512710042417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0CE-44D6-8B3C-1267E28B721B}"/>
                </c:ext>
              </c:extLst>
            </c:dLbl>
            <c:dLbl>
              <c:idx val="2"/>
              <c:layout>
                <c:manualLayout>
                  <c:x val="3.9246467817895666E-3"/>
                  <c:y val="-4.3865173224003373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0CE-44D6-8B3C-1267E28B721B}"/>
                </c:ext>
              </c:extLst>
            </c:dLbl>
            <c:dLbl>
              <c:idx val="3"/>
              <c:layout>
                <c:manualLayout>
                  <c:x val="7.8492935635792772E-3"/>
                  <c:y val="-5.056018077095639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0CE-44D6-8B3C-1267E28B721B}"/>
                </c:ext>
              </c:extLst>
            </c:dLbl>
            <c:dLbl>
              <c:idx val="4"/>
              <c:layout>
                <c:manualLayout>
                  <c:x val="3.9246467817896386E-3"/>
                  <c:y val="-1.264004519273909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0CE-44D6-8B3C-1267E28B72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Pasākumi (nometnes, ekskursijas, pārgājieni) notiek pietiekami bieži</c:v>
                </c:pt>
                <c:pt idx="1">
                  <c:v>Man patīk kopējie pasākumi ar citām jaunsargu grupām</c:v>
                </c:pt>
                <c:pt idx="2">
                  <c:v>Nodarbību dienas un laiki ir man ērti</c:v>
                </c:pt>
                <c:pt idx="3">
                  <c:v>Vienas nodarbības ilgums (aptuveni 2 stundas) ir pietiekams</c:v>
                </c:pt>
                <c:pt idx="4">
                  <c:v>Nodarbības notiek pietiekami bieži (reizi nedēļā)</c:v>
                </c:pt>
              </c:strCache>
            </c:strRef>
          </c:cat>
          <c:val>
            <c:numRef>
              <c:f>Sheet1!$B$2:$B$6</c:f>
              <c:numCache>
                <c:formatCode>0%</c:formatCode>
                <c:ptCount val="5"/>
                <c:pt idx="0">
                  <c:v>0.04</c:v>
                </c:pt>
                <c:pt idx="1">
                  <c:v>0.04</c:v>
                </c:pt>
                <c:pt idx="2">
                  <c:v>0.05</c:v>
                </c:pt>
                <c:pt idx="3">
                  <c:v>0.03</c:v>
                </c:pt>
                <c:pt idx="4">
                  <c:v>0.05</c:v>
                </c:pt>
              </c:numCache>
            </c:numRef>
          </c:val>
          <c:extLst>
            <c:ext xmlns:c16="http://schemas.microsoft.com/office/drawing/2014/chart" uri="{C3380CC4-5D6E-409C-BE32-E72D297353CC}">
              <c16:uniqueId val="{00000005-50CE-44D6-8B3C-1267E28B721B}"/>
            </c:ext>
          </c:extLst>
        </c:ser>
        <c:ser>
          <c:idx val="1"/>
          <c:order val="1"/>
          <c:tx>
            <c:strRef>
              <c:f>Sheet1!$C$1</c:f>
              <c:strCache>
                <c:ptCount val="1"/>
                <c:pt idx="0">
                  <c:v>Drīzāk nepiekrītu</c:v>
                </c:pt>
              </c:strCache>
            </c:strRef>
          </c:tx>
          <c:spPr>
            <a:solidFill>
              <a:schemeClr val="accent6">
                <a:lumMod val="20000"/>
                <a:lumOff val="80000"/>
              </a:schemeClr>
            </a:solidFill>
            <a:ln>
              <a:noFill/>
            </a:ln>
            <a:effectLst/>
          </c:spPr>
          <c:invertIfNegative val="0"/>
          <c:dLbls>
            <c:dLbl>
              <c:idx val="0"/>
              <c:layout>
                <c:manualLayout>
                  <c:x val="1.1773940345368845E-2"/>
                  <c:y val="-4.3865173224003373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0CE-44D6-8B3C-1267E28B721B}"/>
                </c:ext>
              </c:extLst>
            </c:dLbl>
            <c:dLbl>
              <c:idx val="1"/>
              <c:layout>
                <c:manualLayout>
                  <c:x val="1.1773940345368918E-2"/>
                  <c:y val="4.94851271004256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0CE-44D6-8B3C-1267E28B721B}"/>
                </c:ext>
              </c:extLst>
            </c:dLbl>
            <c:dLbl>
              <c:idx val="2"/>
              <c:layout>
                <c:manualLayout>
                  <c:x val="1.9623233908948193E-3"/>
                  <c:y val="-4.3865173224003373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0CE-44D6-8B3C-1267E28B721B}"/>
                </c:ext>
              </c:extLst>
            </c:dLbl>
            <c:dLbl>
              <c:idx val="3"/>
              <c:layout>
                <c:manualLayout>
                  <c:x val="9.8116169544740246E-3"/>
                  <c:y val="-5.056018077095639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0CE-44D6-8B3C-1267E28B72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Pasākumi (nometnes, ekskursijas, pārgājieni) notiek pietiekami bieži</c:v>
                </c:pt>
                <c:pt idx="1">
                  <c:v>Man patīk kopējie pasākumi ar citām jaunsargu grupām</c:v>
                </c:pt>
                <c:pt idx="2">
                  <c:v>Nodarbību dienas un laiki ir man ērti</c:v>
                </c:pt>
                <c:pt idx="3">
                  <c:v>Vienas nodarbības ilgums (aptuveni 2 stundas) ir pietiekams</c:v>
                </c:pt>
                <c:pt idx="4">
                  <c:v>Nodarbības notiek pietiekami bieži (reizi nedēļā)</c:v>
                </c:pt>
              </c:strCache>
            </c:strRef>
          </c:cat>
          <c:val>
            <c:numRef>
              <c:f>Sheet1!$C$2:$C$6</c:f>
              <c:numCache>
                <c:formatCode>0%</c:formatCode>
                <c:ptCount val="5"/>
                <c:pt idx="0">
                  <c:v>0.09</c:v>
                </c:pt>
                <c:pt idx="1">
                  <c:v>0.06</c:v>
                </c:pt>
                <c:pt idx="2">
                  <c:v>0.1</c:v>
                </c:pt>
                <c:pt idx="3">
                  <c:v>0.06</c:v>
                </c:pt>
                <c:pt idx="4">
                  <c:v>0.11</c:v>
                </c:pt>
              </c:numCache>
            </c:numRef>
          </c:val>
          <c:extLst>
            <c:ext xmlns:c16="http://schemas.microsoft.com/office/drawing/2014/chart" uri="{C3380CC4-5D6E-409C-BE32-E72D297353CC}">
              <c16:uniqueId val="{0000000A-50CE-44D6-8B3C-1267E28B721B}"/>
            </c:ext>
          </c:extLst>
        </c:ser>
        <c:ser>
          <c:idx val="2"/>
          <c:order val="2"/>
          <c:tx>
            <c:strRef>
              <c:f>Sheet1!$D$1</c:f>
              <c:strCache>
                <c:ptCount val="1"/>
                <c:pt idx="0">
                  <c:v>Ne nepiekrītu, ne piekrītu</c:v>
                </c:pt>
              </c:strCache>
            </c:strRef>
          </c:tx>
          <c:spPr>
            <a:solidFill>
              <a:schemeClr val="accent3"/>
            </a:solidFill>
            <a:ln>
              <a:noFill/>
            </a:ln>
            <a:effectLst/>
          </c:spPr>
          <c:invertIfNegative val="0"/>
          <c:dLbls>
            <c:dLbl>
              <c:idx val="0"/>
              <c:layout>
                <c:manualLayout>
                  <c:x val="9.8116169544740974E-3"/>
                  <c:y val="4.9925112331501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0CE-44D6-8B3C-1267E28B721B}"/>
                </c:ext>
              </c:extLst>
            </c:dLbl>
            <c:dLbl>
              <c:idx val="1"/>
              <c:layout>
                <c:manualLayout>
                  <c:x val="9.8116169544740974E-3"/>
                  <c:y val="4.9925112331502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0CE-44D6-8B3C-1267E28B721B}"/>
                </c:ext>
              </c:extLst>
            </c:dLbl>
            <c:dLbl>
              <c:idx val="2"/>
              <c:layout>
                <c:manualLayout>
                  <c:x val="1.373626373626373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0CE-44D6-8B3C-1267E28B721B}"/>
                </c:ext>
              </c:extLst>
            </c:dLbl>
            <c:dLbl>
              <c:idx val="3"/>
              <c:layout>
                <c:manualLayout>
                  <c:x val="5.8869701726844588E-3"/>
                  <c:y val="-5.056018077095639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0CE-44D6-8B3C-1267E28B72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Pasākumi (nometnes, ekskursijas, pārgājieni) notiek pietiekami bieži</c:v>
                </c:pt>
                <c:pt idx="1">
                  <c:v>Man patīk kopējie pasākumi ar citām jaunsargu grupām</c:v>
                </c:pt>
                <c:pt idx="2">
                  <c:v>Nodarbību dienas un laiki ir man ērti</c:v>
                </c:pt>
                <c:pt idx="3">
                  <c:v>Vienas nodarbības ilgums (aptuveni 2 stundas) ir pietiekams</c:v>
                </c:pt>
                <c:pt idx="4">
                  <c:v>Nodarbības notiek pietiekami bieži (reizi nedēļā)</c:v>
                </c:pt>
              </c:strCache>
            </c:strRef>
          </c:cat>
          <c:val>
            <c:numRef>
              <c:f>Sheet1!$D$2:$D$6</c:f>
              <c:numCache>
                <c:formatCode>0%</c:formatCode>
                <c:ptCount val="5"/>
                <c:pt idx="0">
                  <c:v>0.17</c:v>
                </c:pt>
                <c:pt idx="1">
                  <c:v>0.17</c:v>
                </c:pt>
                <c:pt idx="2">
                  <c:v>0.14000000000000001</c:v>
                </c:pt>
                <c:pt idx="3">
                  <c:v>0.13</c:v>
                </c:pt>
                <c:pt idx="4">
                  <c:v>0.14000000000000001</c:v>
                </c:pt>
              </c:numCache>
            </c:numRef>
          </c:val>
          <c:extLst>
            <c:ext xmlns:c16="http://schemas.microsoft.com/office/drawing/2014/chart" uri="{C3380CC4-5D6E-409C-BE32-E72D297353CC}">
              <c16:uniqueId val="{0000000F-50CE-44D6-8B3C-1267E28B721B}"/>
            </c:ext>
          </c:extLst>
        </c:ser>
        <c:ser>
          <c:idx val="3"/>
          <c:order val="3"/>
          <c:tx>
            <c:strRef>
              <c:f>Sheet1!$E$1</c:f>
              <c:strCache>
                <c:ptCount val="1"/>
                <c:pt idx="0">
                  <c:v>Drīzāk piekrītu</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Pasākumi (nometnes, ekskursijas, pārgājieni) notiek pietiekami bieži</c:v>
                </c:pt>
                <c:pt idx="1">
                  <c:v>Man patīk kopējie pasākumi ar citām jaunsargu grupām</c:v>
                </c:pt>
                <c:pt idx="2">
                  <c:v>Nodarbību dienas un laiki ir man ērti</c:v>
                </c:pt>
                <c:pt idx="3">
                  <c:v>Vienas nodarbības ilgums (aptuveni 2 stundas) ir pietiekams</c:v>
                </c:pt>
                <c:pt idx="4">
                  <c:v>Nodarbības notiek pietiekami bieži (reizi nedēļā)</c:v>
                </c:pt>
              </c:strCache>
            </c:strRef>
          </c:cat>
          <c:val>
            <c:numRef>
              <c:f>Sheet1!$E$2:$E$6</c:f>
              <c:numCache>
                <c:formatCode>0%</c:formatCode>
                <c:ptCount val="5"/>
                <c:pt idx="0">
                  <c:v>0.32</c:v>
                </c:pt>
                <c:pt idx="1">
                  <c:v>0.3</c:v>
                </c:pt>
                <c:pt idx="2">
                  <c:v>0.22</c:v>
                </c:pt>
                <c:pt idx="3">
                  <c:v>0.28999999999999998</c:v>
                </c:pt>
                <c:pt idx="4">
                  <c:v>0.21</c:v>
                </c:pt>
              </c:numCache>
            </c:numRef>
          </c:val>
          <c:extLst>
            <c:ext xmlns:c16="http://schemas.microsoft.com/office/drawing/2014/chart" uri="{C3380CC4-5D6E-409C-BE32-E72D297353CC}">
              <c16:uniqueId val="{00000010-50CE-44D6-8B3C-1267E28B721B}"/>
            </c:ext>
          </c:extLst>
        </c:ser>
        <c:ser>
          <c:idx val="4"/>
          <c:order val="4"/>
          <c:tx>
            <c:strRef>
              <c:f>Sheet1!$F$1</c:f>
              <c:strCache>
                <c:ptCount val="1"/>
                <c:pt idx="0">
                  <c:v>Pilnībā piekrītu</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Pasākumi (nometnes, ekskursijas, pārgājieni) notiek pietiekami bieži</c:v>
                </c:pt>
                <c:pt idx="1">
                  <c:v>Man patīk kopējie pasākumi ar citām jaunsargu grupām</c:v>
                </c:pt>
                <c:pt idx="2">
                  <c:v>Nodarbību dienas un laiki ir man ērti</c:v>
                </c:pt>
                <c:pt idx="3">
                  <c:v>Vienas nodarbības ilgums (aptuveni 2 stundas) ir pietiekams</c:v>
                </c:pt>
                <c:pt idx="4">
                  <c:v>Nodarbības notiek pietiekami bieži (reizi nedēļā)</c:v>
                </c:pt>
              </c:strCache>
            </c:strRef>
          </c:cat>
          <c:val>
            <c:numRef>
              <c:f>Sheet1!$F$2:$F$6</c:f>
              <c:numCache>
                <c:formatCode>0%</c:formatCode>
                <c:ptCount val="5"/>
                <c:pt idx="0">
                  <c:v>0.38</c:v>
                </c:pt>
                <c:pt idx="1">
                  <c:v>0.43</c:v>
                </c:pt>
                <c:pt idx="2">
                  <c:v>0.49</c:v>
                </c:pt>
                <c:pt idx="3">
                  <c:v>0.49</c:v>
                </c:pt>
                <c:pt idx="4">
                  <c:v>0.49</c:v>
                </c:pt>
              </c:numCache>
            </c:numRef>
          </c:val>
          <c:extLst>
            <c:ext xmlns:c16="http://schemas.microsoft.com/office/drawing/2014/chart" uri="{C3380CC4-5D6E-409C-BE32-E72D297353CC}">
              <c16:uniqueId val="{00000011-50CE-44D6-8B3C-1267E28B721B}"/>
            </c:ext>
          </c:extLst>
        </c:ser>
        <c:dLbls>
          <c:showLegendKey val="0"/>
          <c:showVal val="0"/>
          <c:showCatName val="0"/>
          <c:showSerName val="0"/>
          <c:showPercent val="0"/>
          <c:showBubbleSize val="0"/>
        </c:dLbls>
        <c:gapWidth val="150"/>
        <c:overlap val="100"/>
        <c:axId val="237498095"/>
        <c:axId val="237497135"/>
      </c:barChart>
      <c:catAx>
        <c:axId val="2374980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497135"/>
        <c:crosses val="autoZero"/>
        <c:auto val="1"/>
        <c:lblAlgn val="ctr"/>
        <c:lblOffset val="100"/>
        <c:noMultiLvlLbl val="0"/>
      </c:catAx>
      <c:valAx>
        <c:axId val="237497135"/>
        <c:scaling>
          <c:orientation val="minMax"/>
        </c:scaling>
        <c:delete val="1"/>
        <c:axPos val="b"/>
        <c:numFmt formatCode="0%" sourceLinked="1"/>
        <c:majorTickMark val="none"/>
        <c:minorTickMark val="none"/>
        <c:tickLblPos val="nextTo"/>
        <c:crossAx val="237498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ivitta">
      <a:dk1>
        <a:srgbClr val="232323"/>
      </a:dk1>
      <a:lt1>
        <a:srgbClr val="FEFEFE"/>
      </a:lt1>
      <a:dk2>
        <a:srgbClr val="232323"/>
      </a:dk2>
      <a:lt2>
        <a:srgbClr val="FEFEFE"/>
      </a:lt2>
      <a:accent1>
        <a:srgbClr val="232323"/>
      </a:accent1>
      <a:accent2>
        <a:srgbClr val="ACAEAC"/>
      </a:accent2>
      <a:accent3>
        <a:srgbClr val="E6E6E6"/>
      </a:accent3>
      <a:accent4>
        <a:srgbClr val="EBFE41"/>
      </a:accent4>
      <a:accent5>
        <a:srgbClr val="3CEB9D"/>
      </a:accent5>
      <a:accent6>
        <a:srgbClr val="82009B"/>
      </a:accent6>
      <a:hlink>
        <a:srgbClr val="82009B"/>
      </a:hlink>
      <a:folHlink>
        <a:srgbClr val="82009B"/>
      </a:folHlink>
    </a:clrScheme>
    <a:fontScheme name="Civitta Arial">
      <a:majorFont>
        <a:latin typeface="Arial Bold"/>
        <a:ea typeface=""/>
        <a:cs typeface="Arial Bold"/>
      </a:majorFont>
      <a:minorFont>
        <a:latin typeface="Arial"/>
        <a:ea typeface=""/>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2024-05-10T00:00:00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D2C36B-49AE-45DF-8646-C6D9CD046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Civitta Word One Sheet Template.dotx</Template>
  <TotalTime>1</TotalTime>
  <Pages>9</Pages>
  <Words>15752</Words>
  <Characters>8980</Characters>
  <Application>Microsoft Office Word</Application>
  <DocSecurity>4</DocSecurity>
  <Lines>74</Lines>
  <Paragraphs>49</Paragraphs>
  <ScaleCrop>false</ScaleCrop>
  <HeadingPairs>
    <vt:vector size="2" baseType="variant">
      <vt:variant>
        <vt:lpstr>Title</vt:lpstr>
      </vt:variant>
      <vt:variant>
        <vt:i4>1</vt:i4>
      </vt:variant>
    </vt:vector>
  </HeadingPairs>
  <TitlesOfParts>
    <vt:vector size="1" baseType="lpstr">
      <vt:lpstr>Longer Document title which is expanded to three lines!</vt:lpstr>
    </vt:vector>
  </TitlesOfParts>
  <Manager>Santa Barone-Upeniece</Manager>
  <Company>Civitta</Company>
  <LinksUpToDate>false</LinksUpToDate>
  <CharactersWithSpaces>24683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Longer Document title which is expanded to three lines!</dc:title>
  <dc:subject/>
  <dc:creator>Ingvilda Štrāla</dc:creator>
  <cp:keywords/>
  <dc:description/>
  <cp:lastModifiedBy>Sanita Kalnača</cp:lastModifiedBy>
  <cp:revision>2</cp:revision>
  <cp:lastPrinted>2024-05-11T21:11:00Z</cp:lastPrinted>
  <dcterms:created xsi:type="dcterms:W3CDTF">2026-06-04T16:14:00Z</dcterms:created>
  <dcterms:modified xsi:type="dcterms:W3CDTF">2026-06-04T16:14:00Z</dcterms:modified>
  <cp:category/>
</cp:coreProperties>
</file>